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C5A2" w14:textId="77777777" w:rsidR="00007C75" w:rsidRDefault="00000000">
      <w:pPr>
        <w:spacing w:after="0" w:line="620" w:lineRule="exact"/>
        <w:jc w:val="both"/>
        <w:rPr>
          <w:rFonts w:ascii="黑体" w:eastAsia="黑体" w:hAnsi="黑体"/>
          <w:color w:val="000000" w:themeColor="text1"/>
          <w:sz w:val="32"/>
          <w:szCs w:val="32"/>
        </w:rPr>
      </w:pPr>
      <w:r>
        <w:rPr>
          <w:rFonts w:ascii="黑体" w:eastAsia="黑体" w:hAnsi="黑体" w:hint="eastAsia"/>
          <w:color w:val="000000" w:themeColor="text1"/>
          <w:sz w:val="32"/>
          <w:szCs w:val="32"/>
        </w:rPr>
        <w:t>县十八届人大二次会议文件14</w:t>
      </w:r>
    </w:p>
    <w:p w14:paraId="5176BCEE" w14:textId="77777777" w:rsidR="00007C75" w:rsidRDefault="00007C75">
      <w:pPr>
        <w:spacing w:after="0" w:line="620" w:lineRule="exact"/>
        <w:jc w:val="both"/>
        <w:rPr>
          <w:rFonts w:ascii="仿宋" w:eastAsia="仿宋" w:hAnsi="仿宋"/>
          <w:color w:val="000000" w:themeColor="text1"/>
          <w:sz w:val="32"/>
          <w:szCs w:val="32"/>
        </w:rPr>
      </w:pPr>
    </w:p>
    <w:p w14:paraId="533AD193" w14:textId="77777777" w:rsidR="00007C75" w:rsidRDefault="00007C75">
      <w:pPr>
        <w:spacing w:after="0" w:line="620" w:lineRule="exact"/>
        <w:jc w:val="both"/>
        <w:rPr>
          <w:rFonts w:ascii="仿宋" w:eastAsia="仿宋" w:hAnsi="仿宋"/>
          <w:color w:val="000000" w:themeColor="text1"/>
          <w:sz w:val="44"/>
          <w:szCs w:val="44"/>
        </w:rPr>
      </w:pPr>
    </w:p>
    <w:p w14:paraId="1286C973" w14:textId="77777777" w:rsidR="00007C75" w:rsidRDefault="00000000">
      <w:pPr>
        <w:spacing w:after="0" w:line="620" w:lineRule="exact"/>
        <w:jc w:val="center"/>
        <w:rPr>
          <w:rFonts w:ascii="黑体" w:eastAsia="黑体" w:hAnsi="黑体"/>
          <w:color w:val="000000" w:themeColor="text1"/>
          <w:sz w:val="44"/>
          <w:szCs w:val="44"/>
        </w:rPr>
      </w:pPr>
      <w:r>
        <w:rPr>
          <w:rFonts w:ascii="黑体" w:eastAsia="黑体" w:hAnsi="黑体" w:hint="eastAsia"/>
          <w:color w:val="000000" w:themeColor="text1"/>
          <w:sz w:val="44"/>
          <w:szCs w:val="44"/>
        </w:rPr>
        <w:t>关于宝清县2022年</w:t>
      </w:r>
    </w:p>
    <w:p w14:paraId="57EAFA79" w14:textId="77777777" w:rsidR="00007C75" w:rsidRDefault="00000000">
      <w:pPr>
        <w:spacing w:after="0" w:line="620" w:lineRule="exact"/>
        <w:jc w:val="center"/>
        <w:rPr>
          <w:rFonts w:ascii="黑体" w:eastAsia="黑体" w:hAnsi="黑体"/>
          <w:color w:val="000000" w:themeColor="text1"/>
          <w:sz w:val="44"/>
          <w:szCs w:val="44"/>
        </w:rPr>
      </w:pPr>
      <w:r>
        <w:rPr>
          <w:rFonts w:ascii="黑体" w:eastAsia="黑体" w:hAnsi="黑体" w:hint="eastAsia"/>
          <w:color w:val="000000" w:themeColor="text1"/>
          <w:sz w:val="44"/>
          <w:szCs w:val="44"/>
        </w:rPr>
        <w:t>财政预算执行情况和2023年</w:t>
      </w:r>
    </w:p>
    <w:p w14:paraId="6C97C88C" w14:textId="77777777" w:rsidR="00007C75" w:rsidRDefault="00000000">
      <w:pPr>
        <w:spacing w:after="0" w:line="620" w:lineRule="exact"/>
        <w:jc w:val="center"/>
        <w:rPr>
          <w:rFonts w:ascii="黑体" w:eastAsia="黑体" w:hAnsi="黑体"/>
          <w:color w:val="000000" w:themeColor="text1"/>
          <w:sz w:val="44"/>
          <w:szCs w:val="44"/>
        </w:rPr>
      </w:pPr>
      <w:r>
        <w:rPr>
          <w:rFonts w:ascii="黑体" w:eastAsia="黑体" w:hAnsi="黑体" w:hint="eastAsia"/>
          <w:color w:val="000000" w:themeColor="text1"/>
          <w:sz w:val="44"/>
          <w:szCs w:val="44"/>
        </w:rPr>
        <w:t>财政预算（草案）的报告</w:t>
      </w:r>
    </w:p>
    <w:p w14:paraId="15F5A5D6" w14:textId="77777777" w:rsidR="00007C75" w:rsidRDefault="00000000">
      <w:pPr>
        <w:spacing w:after="0" w:line="620" w:lineRule="exact"/>
        <w:jc w:val="center"/>
        <w:rPr>
          <w:rFonts w:ascii="黑体" w:eastAsia="黑体" w:hAnsi="黑体"/>
          <w:color w:val="000000" w:themeColor="text1"/>
          <w:sz w:val="44"/>
          <w:szCs w:val="44"/>
        </w:rPr>
      </w:pPr>
      <w:r>
        <w:rPr>
          <w:rFonts w:ascii="黑体" w:eastAsia="黑体" w:hAnsi="黑体" w:hint="eastAsia"/>
          <w:color w:val="000000" w:themeColor="text1"/>
          <w:sz w:val="44"/>
          <w:szCs w:val="44"/>
        </w:rPr>
        <w:t>（书面）</w:t>
      </w:r>
    </w:p>
    <w:p w14:paraId="0BE7C9B4" w14:textId="77777777" w:rsidR="00007C75" w:rsidRDefault="00007C75">
      <w:pPr>
        <w:spacing w:after="0" w:line="620" w:lineRule="exact"/>
        <w:jc w:val="center"/>
        <w:rPr>
          <w:rFonts w:ascii="楷体_GB2312" w:eastAsia="楷体_GB2312"/>
          <w:sz w:val="32"/>
          <w:szCs w:val="32"/>
        </w:rPr>
      </w:pPr>
    </w:p>
    <w:p w14:paraId="5631B264" w14:textId="77777777" w:rsidR="00007C75" w:rsidRDefault="00000000">
      <w:pPr>
        <w:spacing w:after="0" w:line="620" w:lineRule="exact"/>
        <w:jc w:val="center"/>
        <w:rPr>
          <w:rFonts w:ascii="楷体_GB2312" w:eastAsia="楷体_GB2312"/>
          <w:sz w:val="32"/>
          <w:szCs w:val="32"/>
        </w:rPr>
      </w:pPr>
      <w:r>
        <w:rPr>
          <w:rFonts w:ascii="楷体_GB2312" w:eastAsia="楷体_GB2312" w:hint="eastAsia"/>
          <w:sz w:val="32"/>
          <w:szCs w:val="32"/>
        </w:rPr>
        <w:t>——2023年1月7日在宝清县第十八届</w:t>
      </w:r>
    </w:p>
    <w:p w14:paraId="4B95826A" w14:textId="77777777" w:rsidR="00007C75" w:rsidRDefault="00000000">
      <w:pPr>
        <w:spacing w:after="0" w:line="620" w:lineRule="exact"/>
        <w:jc w:val="center"/>
        <w:rPr>
          <w:rFonts w:ascii="仿宋" w:eastAsia="仿宋" w:hAnsi="仿宋"/>
          <w:color w:val="000000" w:themeColor="text1"/>
          <w:sz w:val="32"/>
          <w:szCs w:val="32"/>
        </w:rPr>
      </w:pPr>
      <w:r>
        <w:rPr>
          <w:rFonts w:ascii="楷体_GB2312" w:eastAsia="楷体_GB2312" w:hint="eastAsia"/>
          <w:sz w:val="32"/>
          <w:szCs w:val="32"/>
        </w:rPr>
        <w:t>人民代表大会第二次会议上</w:t>
      </w:r>
    </w:p>
    <w:p w14:paraId="41B8FF6A" w14:textId="77777777" w:rsidR="00007C75" w:rsidRDefault="00007C75">
      <w:pPr>
        <w:widowControl w:val="0"/>
        <w:spacing w:after="0" w:line="620" w:lineRule="exact"/>
        <w:jc w:val="center"/>
        <w:rPr>
          <w:rFonts w:ascii="楷体" w:eastAsia="楷体" w:hAnsi="楷体"/>
          <w:color w:val="000000" w:themeColor="text1"/>
          <w:sz w:val="32"/>
          <w:szCs w:val="32"/>
        </w:rPr>
      </w:pPr>
    </w:p>
    <w:p w14:paraId="712B565A" w14:textId="77777777" w:rsidR="00007C75" w:rsidRDefault="00000000">
      <w:pPr>
        <w:widowControl w:val="0"/>
        <w:spacing w:after="0" w:line="620" w:lineRule="exact"/>
        <w:jc w:val="center"/>
        <w:rPr>
          <w:rFonts w:ascii="楷体" w:eastAsia="楷体" w:hAnsi="楷体"/>
          <w:color w:val="000000" w:themeColor="text1"/>
          <w:sz w:val="32"/>
          <w:szCs w:val="32"/>
        </w:rPr>
      </w:pPr>
      <w:r>
        <w:rPr>
          <w:rFonts w:ascii="楷体" w:eastAsia="楷体" w:hAnsi="楷体" w:hint="eastAsia"/>
          <w:color w:val="000000" w:themeColor="text1"/>
          <w:sz w:val="32"/>
          <w:szCs w:val="32"/>
        </w:rPr>
        <w:t>宝清县财政局</w:t>
      </w:r>
    </w:p>
    <w:p w14:paraId="269CBA86" w14:textId="77777777" w:rsidR="00007C75" w:rsidRDefault="00007C75">
      <w:pPr>
        <w:widowControl w:val="0"/>
        <w:spacing w:after="0" w:line="560" w:lineRule="exact"/>
        <w:jc w:val="both"/>
        <w:rPr>
          <w:rFonts w:ascii="仿宋" w:eastAsia="仿宋" w:hAnsi="仿宋"/>
          <w:color w:val="000000" w:themeColor="text1"/>
          <w:sz w:val="32"/>
          <w:szCs w:val="32"/>
        </w:rPr>
      </w:pPr>
    </w:p>
    <w:p w14:paraId="65AC7C05" w14:textId="77777777" w:rsidR="00007C75" w:rsidRDefault="00000000">
      <w:pPr>
        <w:widowControl w:val="0"/>
        <w:spacing w:after="0" w:line="560" w:lineRule="exac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各位代表：</w:t>
      </w:r>
    </w:p>
    <w:p w14:paraId="251EC7C0"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受县人民政府委托，向大会报告2022年全县财政预算执行情况和2023年财政预算安排(草案)，请予审议。</w:t>
      </w:r>
    </w:p>
    <w:p w14:paraId="28E1D4DD" w14:textId="77777777" w:rsidR="00007C75" w:rsidRDefault="00000000">
      <w:pPr>
        <w:widowControl w:val="0"/>
        <w:spacing w:after="0" w:line="56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一、2022年财政预算执行情况</w:t>
      </w:r>
    </w:p>
    <w:p w14:paraId="7AAFDA07"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（一）一般公共预算执行情况</w:t>
      </w:r>
    </w:p>
    <w:p w14:paraId="474C4424"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u w:val="single"/>
        </w:rPr>
      </w:pPr>
      <w:r>
        <w:rPr>
          <w:rFonts w:ascii="仿宋_GB2312" w:eastAsia="仿宋_GB2312" w:hAnsi="仿宋_GB2312" w:cs="仿宋_GB2312" w:hint="eastAsia"/>
          <w:b/>
          <w:color w:val="000000" w:themeColor="text1"/>
          <w:sz w:val="32"/>
          <w:szCs w:val="32"/>
        </w:rPr>
        <w:t>2022年，全县一般公共预算总收入完成535,751万元，</w:t>
      </w:r>
      <w:r>
        <w:rPr>
          <w:rFonts w:ascii="仿宋_GB2312" w:eastAsia="仿宋_GB2312" w:hAnsi="仿宋_GB2312" w:cs="仿宋_GB2312" w:hint="eastAsia"/>
          <w:color w:val="000000" w:themeColor="text1"/>
          <w:sz w:val="32"/>
          <w:szCs w:val="32"/>
        </w:rPr>
        <w:t>其中：（1）县级一般公共预算收入完成69,263万元，同比增长22.71%，按照可比口径，县级一般公共预算收入完成78,062万元，同比增长37.15%；（2）争取上级补助收入369,839万元（其中财力转移支付163,645万元，专项转移支付206,194</w:t>
      </w:r>
      <w:r>
        <w:rPr>
          <w:rFonts w:ascii="仿宋_GB2312" w:eastAsia="仿宋_GB2312" w:hAnsi="仿宋_GB2312" w:cs="仿宋_GB2312" w:hint="eastAsia"/>
          <w:color w:val="000000" w:themeColor="text1"/>
          <w:sz w:val="32"/>
          <w:szCs w:val="32"/>
        </w:rPr>
        <w:lastRenderedPageBreak/>
        <w:t>万元）；（3）争取地方政府一般债券转贷收入60,451万元，其中：新增地方政府一般债券33,312万元，转贷到期债务还本一般债券27,139万元；（4）从政府性基金调入资金217万元；（5）上年结转收入35,981万元。以上构成我县一般公共预算总收入同比增加93,739万元，增加的主要因素是减税降费政策及兑现绩效工资等因素增加的一次性财力补助收入。</w:t>
      </w:r>
    </w:p>
    <w:p w14:paraId="53DEEDD2"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2022年，全县一般公共预算总支出完成535,751万元，</w:t>
      </w:r>
      <w:r>
        <w:rPr>
          <w:rFonts w:ascii="仿宋_GB2312" w:eastAsia="仿宋_GB2312" w:hAnsi="仿宋_GB2312" w:cs="仿宋_GB2312" w:hint="eastAsia"/>
          <w:color w:val="000000" w:themeColor="text1"/>
          <w:sz w:val="32"/>
          <w:szCs w:val="32"/>
        </w:rPr>
        <w:t>其中：（1）一般公共预算支出完成431,246万元；（2）上解上级支出6,170万元；（3）偿还到期一般债务还本支出27,141万元；（4）结转下年支出71,194万元。</w:t>
      </w:r>
    </w:p>
    <w:p w14:paraId="2A567BD7"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2022年，全县一般公共预算收支总量相抵后，收支平衡。</w:t>
      </w:r>
    </w:p>
    <w:p w14:paraId="52D9A5D2" w14:textId="77777777" w:rsidR="00007C75" w:rsidRDefault="00000000">
      <w:pPr>
        <w:widowControl w:val="0"/>
        <w:spacing w:after="0" w:line="560" w:lineRule="exact"/>
        <w:ind w:firstLineChars="200" w:firstLine="640"/>
        <w:jc w:val="both"/>
        <w:rPr>
          <w:rFonts w:ascii="楷体_GB2312" w:eastAsia="楷体_GB2312" w:hAnsi="楷体_GB2312" w:cs="楷体_GB2312"/>
          <w:b/>
          <w:bCs/>
          <w:color w:val="484848"/>
          <w:spacing w:val="-11"/>
          <w:sz w:val="32"/>
          <w:szCs w:val="32"/>
        </w:rPr>
      </w:pPr>
      <w:r>
        <w:rPr>
          <w:rFonts w:ascii="楷体_GB2312" w:eastAsia="楷体_GB2312" w:hAnsi="楷体_GB2312" w:cs="楷体_GB2312" w:hint="eastAsia"/>
          <w:b/>
          <w:color w:val="000000" w:themeColor="text1"/>
          <w:sz w:val="32"/>
          <w:szCs w:val="32"/>
        </w:rPr>
        <w:t>（二）政府性基金预算执行情况</w:t>
      </w:r>
    </w:p>
    <w:p w14:paraId="02BB4468"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2022年，政府性基金预算收入完成100,233万元，</w:t>
      </w:r>
      <w:r>
        <w:rPr>
          <w:rFonts w:ascii="仿宋_GB2312" w:eastAsia="仿宋_GB2312" w:hAnsi="仿宋_GB2312" w:cs="仿宋_GB2312" w:hint="eastAsia"/>
          <w:color w:val="000000" w:themeColor="text1"/>
          <w:sz w:val="32"/>
          <w:szCs w:val="32"/>
        </w:rPr>
        <w:t>其中：（1）县级政府性基金预算收入完成13,499万元；（2）争取上级政府性基金补助收入1,111万元（省专项）；（3）争取地方政府新增专项债券转贷收入85,205万元; （4）上年结转418万元。</w:t>
      </w:r>
    </w:p>
    <w:p w14:paraId="653BF876"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2022年，政府性基金预算支出完成100,233万元，</w:t>
      </w:r>
      <w:r>
        <w:rPr>
          <w:rFonts w:ascii="仿宋_GB2312" w:eastAsia="仿宋_GB2312" w:hAnsi="仿宋_GB2312" w:cs="仿宋_GB2312" w:hint="eastAsia"/>
          <w:color w:val="000000" w:themeColor="text1"/>
          <w:sz w:val="32"/>
          <w:szCs w:val="32"/>
        </w:rPr>
        <w:t>其中：（1）政府性基金预算支出84,825万元(其中:专项债券付息支出9,367万元)；（2）调出资金217万元；（3）结转下年支出15,191万元。收支相抵后，实现平衡。</w:t>
      </w:r>
    </w:p>
    <w:p w14:paraId="48B7A6ED"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（三）国有资本经营预算执行情况</w:t>
      </w:r>
    </w:p>
    <w:p w14:paraId="488BBDB2"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2022年，国有资本经营预算总收入完成1,107万元，其中：（1）上级补助收入932万元；（2）上年结转175万元。全县国有资本经营预算支出完成1,107万元，其中：（1）国有资本</w:t>
      </w:r>
      <w:r>
        <w:rPr>
          <w:rFonts w:ascii="仿宋_GB2312" w:eastAsia="仿宋_GB2312" w:hAnsi="仿宋_GB2312" w:cs="仿宋_GB2312" w:hint="eastAsia"/>
          <w:color w:val="000000" w:themeColor="text1"/>
          <w:sz w:val="32"/>
          <w:szCs w:val="32"/>
        </w:rPr>
        <w:lastRenderedPageBreak/>
        <w:t>经营预算支出998万元；（2）结转下年支出109万元。</w:t>
      </w:r>
    </w:p>
    <w:p w14:paraId="33F92936" w14:textId="77777777" w:rsidR="00007C75" w:rsidRDefault="00000000">
      <w:pPr>
        <w:widowControl w:val="0"/>
        <w:spacing w:after="0" w:line="560" w:lineRule="exact"/>
        <w:ind w:firstLineChars="200" w:firstLine="640"/>
        <w:jc w:val="both"/>
        <w:rPr>
          <w:rFonts w:ascii="楷体_GB2312" w:eastAsia="楷体_GB2312" w:hAnsi="楷体_GB2312" w:cs="楷体_GB2312"/>
          <w:b/>
          <w:bCs/>
          <w:color w:val="484848"/>
          <w:spacing w:val="-11"/>
          <w:sz w:val="32"/>
          <w:szCs w:val="32"/>
        </w:rPr>
      </w:pPr>
      <w:r>
        <w:rPr>
          <w:rFonts w:ascii="楷体_GB2312" w:eastAsia="楷体_GB2312" w:hAnsi="楷体_GB2312" w:cs="楷体_GB2312" w:hint="eastAsia"/>
          <w:b/>
          <w:color w:val="000000" w:themeColor="text1"/>
          <w:sz w:val="32"/>
          <w:szCs w:val="32"/>
        </w:rPr>
        <w:t>（四）社会保险基金预算执行情况</w:t>
      </w:r>
    </w:p>
    <w:p w14:paraId="78AEC465"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2022年，县级负责统筹管理的机关事业单位工作人员养老保险、城乡居民基本养老保险、城乡居民基本医疗保险基金收入共计60,512万元，基金支出共计58,199万元，基金收支结余2,313万元。其中：（1）机关事业单位工作人员养老保险参保人数0.87万人，2022年基金收入37,623万元，基金支出37,544万元，基金收支结余79万元，历年滚存结余2,862万元；（2）城乡居民基本养老保险参保人数8.1万人，2022年基金收入6,907万元，基金支出4,636万元，基金收支结余2,271万元，历年滚存结余20,079万元；（3）城乡居民基本医疗保险参保人数196,299人，2022年基金收入15,982万元，基金支出16,019万元，历年滚存结余13,352万元。</w:t>
      </w:r>
    </w:p>
    <w:p w14:paraId="63B15757" w14:textId="77777777" w:rsidR="00007C75" w:rsidRDefault="00000000">
      <w:pPr>
        <w:widowControl w:val="0"/>
        <w:spacing w:after="0" w:line="56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二、地方政府债务情况</w:t>
      </w:r>
    </w:p>
    <w:p w14:paraId="2570A02A" w14:textId="77777777" w:rsidR="00007C75" w:rsidRDefault="00000000">
      <w:pPr>
        <w:widowControl w:val="0"/>
        <w:spacing w:after="0" w:line="560" w:lineRule="exact"/>
        <w:ind w:firstLineChars="200" w:firstLine="640"/>
        <w:jc w:val="both"/>
        <w:rPr>
          <w:rFonts w:ascii="楷体_GB2312" w:eastAsia="楷体_GB2312" w:hAnsi="楷体_GB2312" w:cs="楷体_GB2312"/>
          <w:b/>
          <w:bCs/>
          <w:sz w:val="32"/>
          <w:szCs w:val="32"/>
        </w:rPr>
      </w:pPr>
      <w:r>
        <w:rPr>
          <w:rFonts w:ascii="楷体_GB2312" w:eastAsia="楷体_GB2312" w:hAnsi="楷体_GB2312" w:cs="楷体_GB2312" w:hint="eastAsia"/>
          <w:b/>
          <w:color w:val="000000" w:themeColor="text1"/>
          <w:sz w:val="32"/>
          <w:szCs w:val="32"/>
        </w:rPr>
        <w:t>（一）地方政府债务余额情况</w:t>
      </w:r>
    </w:p>
    <w:p w14:paraId="6CBD32E3"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2022年全县地方政府法定债务余额710,766万元，比上年末增加118,426万元（新增债券118,517万元，偿还存量债务89万元，累计增加118,426万元），增长20%，其中：一般债务余额393,732万元，比上年末增加33,221万元（新增一般债券33,312万元，偿还存量债务89万元，累计增加33,221万元），增长8.44%；专项债务余额317,034万元，比上年末增加85,205万元，增长36.75%。</w:t>
      </w:r>
    </w:p>
    <w:p w14:paraId="3156212E"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（二）新增地方政府债券情况</w:t>
      </w:r>
    </w:p>
    <w:p w14:paraId="5043BF25" w14:textId="77777777" w:rsidR="00007C75" w:rsidRDefault="00000000">
      <w:pPr>
        <w:widowControl w:val="0"/>
        <w:spacing w:after="0" w:line="560" w:lineRule="exact"/>
        <w:ind w:firstLineChars="200" w:firstLine="640"/>
        <w:jc w:val="both"/>
        <w:rPr>
          <w:rFonts w:ascii="仿宋" w:eastAsia="仿宋" w:hAnsi="仿宋"/>
          <w:color w:val="000000" w:themeColor="text1"/>
          <w:sz w:val="32"/>
          <w:szCs w:val="32"/>
        </w:rPr>
      </w:pPr>
      <w:r>
        <w:rPr>
          <w:rFonts w:ascii="仿宋_GB2312" w:eastAsia="仿宋_GB2312" w:hAnsi="仿宋_GB2312" w:cs="仿宋_GB2312" w:hint="eastAsia"/>
          <w:color w:val="000000" w:themeColor="text1"/>
          <w:sz w:val="32"/>
          <w:szCs w:val="32"/>
        </w:rPr>
        <w:t>2022年省转贷我县地方政府债券145,656万元，其中：新增债券118,517万元，再融资债券27,139万元。在新增地</w:t>
      </w:r>
      <w:r>
        <w:rPr>
          <w:rFonts w:ascii="仿宋_GB2312" w:eastAsia="仿宋_GB2312" w:hAnsi="仿宋_GB2312" w:cs="仿宋_GB2312" w:hint="eastAsia"/>
          <w:color w:val="000000" w:themeColor="text1"/>
          <w:sz w:val="32"/>
          <w:szCs w:val="32"/>
        </w:rPr>
        <w:lastRenderedPageBreak/>
        <w:t>方政府债券中一般债券33,312万元，专项债券85,205万元。</w:t>
      </w:r>
    </w:p>
    <w:p w14:paraId="5208DBB0" w14:textId="77777777" w:rsidR="00007C75" w:rsidRDefault="00000000">
      <w:pPr>
        <w:widowControl w:val="0"/>
        <w:spacing w:after="0" w:line="560" w:lineRule="exact"/>
        <w:ind w:firstLineChars="200" w:firstLine="640"/>
        <w:jc w:val="both"/>
        <w:rPr>
          <w:rFonts w:ascii="楷体_GB2312" w:eastAsia="楷体_GB2312" w:hAnsi="楷体_GB2312" w:cs="楷体_GB2312"/>
          <w:b/>
          <w:bCs/>
          <w:color w:val="484848"/>
          <w:spacing w:val="-11"/>
          <w:sz w:val="32"/>
          <w:szCs w:val="32"/>
        </w:rPr>
      </w:pPr>
      <w:r>
        <w:rPr>
          <w:rFonts w:ascii="楷体_GB2312" w:eastAsia="楷体_GB2312" w:hAnsi="楷体_GB2312" w:cs="楷体_GB2312" w:hint="eastAsia"/>
          <w:b/>
          <w:color w:val="000000" w:themeColor="text1"/>
          <w:sz w:val="32"/>
          <w:szCs w:val="32"/>
        </w:rPr>
        <w:t>（三）地方政府债务还本付息情况</w:t>
      </w:r>
    </w:p>
    <w:p w14:paraId="38E0C255"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2022年县财政按照偿债计划，全年偿还地方政府一般债券本金27,141万元；支付地方政府债券利息23,370万元，其中：一般债券利息支出14,003万元，专项债券利息支出9,367万元。</w:t>
      </w:r>
    </w:p>
    <w:p w14:paraId="218C1717" w14:textId="77777777" w:rsidR="00007C75" w:rsidRDefault="00000000">
      <w:pPr>
        <w:widowControl w:val="0"/>
        <w:spacing w:after="0" w:line="56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三、2022年主要财政工作</w:t>
      </w:r>
    </w:p>
    <w:p w14:paraId="165E8987"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2022年，财政部门在县委、县政府的坚强领导下，坚持以习近平新时代中国特色社会主义思想为指导，充分发挥财政工作职能，贯彻落实积极的财政政策，始终坚持“稳字当头、稳中求进”工作总基调，凝心聚力、真抓实干，为全县经济社会发展提供坚实保障。</w:t>
      </w:r>
    </w:p>
    <w:p w14:paraId="43CEAE0D"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（一）狠抓增收节支，提高财政资金效益</w:t>
      </w:r>
    </w:p>
    <w:p w14:paraId="6AF7F06D" w14:textId="77777777" w:rsidR="00007C75" w:rsidRDefault="00000000">
      <w:pPr>
        <w:widowControl w:val="0"/>
        <w:spacing w:after="0" w:line="560" w:lineRule="exact"/>
        <w:ind w:firstLineChars="200" w:firstLine="640"/>
        <w:jc w:val="both"/>
        <w:rPr>
          <w:rFonts w:ascii="仿宋_GB2312" w:eastAsia="仿宋_GB2312" w:hAnsi="仿宋_GB2312" w:cs="仿宋_GB2312"/>
          <w:b/>
          <w:bCs/>
          <w:color w:val="484848"/>
          <w:spacing w:val="-11"/>
          <w:sz w:val="32"/>
          <w:szCs w:val="32"/>
        </w:rPr>
      </w:pPr>
      <w:r>
        <w:rPr>
          <w:rFonts w:ascii="仿宋_GB2312" w:eastAsia="仿宋_GB2312" w:hAnsi="仿宋_GB2312" w:cs="仿宋_GB2312" w:hint="eastAsia"/>
          <w:b/>
          <w:bCs/>
          <w:color w:val="000000" w:themeColor="text1"/>
          <w:sz w:val="32"/>
          <w:szCs w:val="32"/>
        </w:rPr>
        <w:t>一是全力组织收入，增强保障能力。</w:t>
      </w:r>
      <w:r>
        <w:rPr>
          <w:rFonts w:ascii="仿宋_GB2312" w:eastAsia="仿宋_GB2312" w:hAnsi="仿宋_GB2312" w:cs="仿宋_GB2312" w:hint="eastAsia"/>
          <w:color w:val="000000" w:themeColor="text1"/>
          <w:sz w:val="32"/>
          <w:szCs w:val="32"/>
        </w:rPr>
        <w:t>加强税收征管，努力挖潜增收，积极克服国家大规模减税降费政策因素对地方财政收入的不利影响，强化零散税源管理，做到应收尽收，2022年县级税收收入完成32,776万元，增长2.99%，剔除增值税留抵退税及一次性因素，其余税种均有增长；加大对非税收入征缴、监缴力度，盘活全县行政事业单位管理的土地等资源，提高承包价格，大幅增加非税收入，全年非税收入36,487万元，增长48.2%。</w:t>
      </w:r>
      <w:r>
        <w:rPr>
          <w:rFonts w:ascii="仿宋_GB2312" w:eastAsia="仿宋_GB2312" w:hAnsi="仿宋_GB2312" w:cs="仿宋_GB2312" w:hint="eastAsia"/>
          <w:b/>
          <w:bCs/>
          <w:color w:val="000000" w:themeColor="text1"/>
          <w:sz w:val="32"/>
          <w:szCs w:val="32"/>
        </w:rPr>
        <w:t>二是积极争取资金，弥补财力缺口。</w:t>
      </w:r>
      <w:r>
        <w:rPr>
          <w:rFonts w:ascii="仿宋_GB2312" w:eastAsia="仿宋_GB2312" w:hAnsi="仿宋_GB2312" w:cs="仿宋_GB2312" w:hint="eastAsia"/>
          <w:color w:val="000000" w:themeColor="text1"/>
          <w:sz w:val="32"/>
          <w:szCs w:val="32"/>
        </w:rPr>
        <w:t>充分发挥部门主动性和积极性，加强对上工作衔接，为我县经济社会发展提供更多的财力保障。2022年，向上争取上级补助收入369,839万元；争取2022年地方政府新增债券资金118,517万元。有力弥补县级财力缺口，缓解支出压力。</w:t>
      </w:r>
      <w:r>
        <w:rPr>
          <w:rFonts w:ascii="仿宋_GB2312" w:eastAsia="仿宋_GB2312" w:hAnsi="仿宋_GB2312" w:cs="仿宋_GB2312" w:hint="eastAsia"/>
          <w:b/>
          <w:bCs/>
          <w:color w:val="000000" w:themeColor="text1"/>
          <w:sz w:val="32"/>
          <w:szCs w:val="32"/>
        </w:rPr>
        <w:t>三是优化使用存量资金，保障重点支出。</w:t>
      </w:r>
      <w:r>
        <w:rPr>
          <w:rFonts w:ascii="仿宋_GB2312" w:eastAsia="仿宋_GB2312" w:hAnsi="仿宋_GB2312" w:cs="仿宋_GB2312" w:hint="eastAsia"/>
          <w:color w:val="000000" w:themeColor="text1"/>
          <w:sz w:val="32"/>
          <w:szCs w:val="32"/>
        </w:rPr>
        <w:t>坚持有保有压、节裕用民，大力压</w:t>
      </w:r>
      <w:r>
        <w:rPr>
          <w:rFonts w:ascii="仿宋_GB2312" w:eastAsia="仿宋_GB2312" w:hAnsi="仿宋_GB2312" w:cs="仿宋_GB2312" w:hint="eastAsia"/>
          <w:color w:val="000000" w:themeColor="text1"/>
          <w:sz w:val="32"/>
          <w:szCs w:val="32"/>
        </w:rPr>
        <w:lastRenderedPageBreak/>
        <w:t>减非刚性、非重点项目等一般性支出，严控“三公”经费，切实节约行政运行成本，优先用于稳增长、稳市场主体、保就业以及疫情防控等支出，用政府的“紧日子”换群众的“好日子”。对各部门各单位闲置沉淀的财政资金进行全面清查，加大清理盘活力度，对短期难以形成实际支出的资金，按规定收回统筹利用，集约发挥整体合力。</w:t>
      </w:r>
    </w:p>
    <w:p w14:paraId="44CF7F48"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（二）落实两稳一保，释放财政政策效能</w:t>
      </w:r>
    </w:p>
    <w:p w14:paraId="6752C665" w14:textId="77777777" w:rsidR="00007C75" w:rsidRDefault="00000000">
      <w:pPr>
        <w:widowControl w:val="0"/>
        <w:spacing w:after="0" w:line="560" w:lineRule="exact"/>
        <w:ind w:firstLineChars="200" w:firstLine="640"/>
        <w:jc w:val="both"/>
        <w:rPr>
          <w:rFonts w:ascii="仿宋_GB2312" w:eastAsia="仿宋_GB2312" w:hAnsi="仿宋_GB2312" w:cs="仿宋_GB2312"/>
          <w:b/>
          <w:bCs/>
          <w:color w:val="484848"/>
          <w:spacing w:val="-11"/>
          <w:sz w:val="32"/>
          <w:szCs w:val="32"/>
        </w:rPr>
      </w:pPr>
      <w:r>
        <w:rPr>
          <w:rFonts w:ascii="仿宋_GB2312" w:eastAsia="仿宋_GB2312" w:hAnsi="仿宋_GB2312" w:cs="仿宋_GB2312" w:hint="eastAsia"/>
          <w:b/>
          <w:bCs/>
          <w:color w:val="000000" w:themeColor="text1"/>
          <w:sz w:val="32"/>
          <w:szCs w:val="32"/>
        </w:rPr>
        <w:t>一是助企纾困，积极落实减税降费政策。</w:t>
      </w:r>
      <w:r>
        <w:rPr>
          <w:rFonts w:ascii="仿宋_GB2312" w:eastAsia="仿宋_GB2312" w:hAnsi="仿宋_GB2312" w:cs="仿宋_GB2312" w:hint="eastAsia"/>
          <w:color w:val="000000" w:themeColor="text1"/>
          <w:sz w:val="32"/>
          <w:szCs w:val="32"/>
        </w:rPr>
        <w:t>对我县符合行政区域内承租行政事业单位房屋的服务业小微企业和个体工商户减免租金45,459元，惠及市场主体17户，其中：小微企3户，减免租金3,334元；个体工商户14户，减免租金42,125元。2022年，我县累计增值税留抵退税8,799万元，确保将减税降费、优化营商环境、提升纳税人满意度等工作落到实处，促进宝清县经济社会平稳健康发展。</w:t>
      </w:r>
      <w:r>
        <w:rPr>
          <w:rFonts w:ascii="仿宋_GB2312" w:eastAsia="仿宋_GB2312" w:hAnsi="仿宋_GB2312" w:cs="仿宋_GB2312" w:hint="eastAsia"/>
          <w:b/>
          <w:bCs/>
          <w:color w:val="000000" w:themeColor="text1"/>
          <w:sz w:val="32"/>
          <w:szCs w:val="32"/>
        </w:rPr>
        <w:t>二是搭建银企对接平台，解决小微企业贷款难题。</w:t>
      </w:r>
      <w:r>
        <w:rPr>
          <w:rFonts w:ascii="仿宋_GB2312" w:eastAsia="仿宋_GB2312" w:hAnsi="仿宋_GB2312" w:cs="仿宋_GB2312" w:hint="eastAsia"/>
          <w:color w:val="000000" w:themeColor="text1"/>
          <w:sz w:val="32"/>
          <w:szCs w:val="32"/>
        </w:rPr>
        <w:t>畅通企业融资渠道，积极引导银行机构向企业提供精细化金融服务。支持小微企业信用贷款，余额20.06亿元。有力推动了小微企业、个体工商户金融服务，提高了小微企业信用贷款比例，降低了小微企业融资综合财务成本。</w:t>
      </w:r>
    </w:p>
    <w:p w14:paraId="6D91F757"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（三）兜牢民生底线，加强财政保障能力</w:t>
      </w:r>
    </w:p>
    <w:p w14:paraId="13CABEF7" w14:textId="77777777" w:rsidR="00007C75" w:rsidRDefault="00000000">
      <w:pPr>
        <w:pStyle w:val="a0"/>
        <w:spacing w:line="560" w:lineRule="exact"/>
        <w:ind w:leftChars="0" w:left="0" w:firstLineChars="200" w:firstLine="640"/>
        <w:rPr>
          <w:rFonts w:ascii="仿宋_GB2312" w:eastAsia="仿宋_GB2312" w:hAnsi="仿宋_GB2312" w:cs="仿宋_GB2312"/>
          <w:color w:val="000000" w:themeColor="text1"/>
          <w:sz w:val="32"/>
          <w:szCs w:val="32"/>
          <w:highlight w:val="yellow"/>
        </w:rPr>
      </w:pPr>
      <w:r>
        <w:rPr>
          <w:rFonts w:ascii="仿宋_GB2312" w:eastAsia="仿宋_GB2312" w:hAnsi="仿宋_GB2312" w:cs="仿宋_GB2312" w:hint="eastAsia"/>
          <w:color w:val="000000" w:themeColor="text1"/>
          <w:kern w:val="0"/>
          <w:sz w:val="32"/>
          <w:szCs w:val="32"/>
        </w:rPr>
        <w:t>坚持优先保障民生领域资金需求，加强普惠性、基础性、兜底性民生建设。2022年，全县民生支出347,160万元，占一般公共预算支出80.5%。</w:t>
      </w:r>
      <w:r>
        <w:rPr>
          <w:rFonts w:ascii="仿宋_GB2312" w:eastAsia="仿宋_GB2312" w:hAnsi="仿宋_GB2312" w:cs="仿宋_GB2312" w:hint="eastAsia"/>
          <w:b/>
          <w:bCs/>
          <w:color w:val="000000" w:themeColor="text1"/>
          <w:kern w:val="0"/>
          <w:sz w:val="32"/>
          <w:szCs w:val="32"/>
        </w:rPr>
        <w:t>一是坚持优先发展教育。</w:t>
      </w:r>
      <w:r>
        <w:rPr>
          <w:rFonts w:ascii="仿宋_GB2312" w:eastAsia="仿宋_GB2312" w:hAnsi="仿宋_GB2312" w:cs="仿宋_GB2312" w:hint="eastAsia"/>
          <w:color w:val="000000" w:themeColor="text1"/>
          <w:kern w:val="0"/>
          <w:sz w:val="32"/>
          <w:szCs w:val="32"/>
        </w:rPr>
        <w:t>拨付资金1,047万元，完善教育基础设施建设，改善办学条件，主要用于第一小学幼儿园户外活动馆、第二中学研学综合楼、第三中学多媒体综合楼、第四中学信息化综合楼、青原镇中学运动场</w:t>
      </w:r>
      <w:r>
        <w:rPr>
          <w:rFonts w:ascii="仿宋_GB2312" w:eastAsia="仿宋_GB2312" w:hAnsi="仿宋_GB2312" w:cs="仿宋_GB2312" w:hint="eastAsia"/>
          <w:color w:val="000000" w:themeColor="text1"/>
          <w:kern w:val="0"/>
          <w:sz w:val="32"/>
          <w:szCs w:val="32"/>
        </w:rPr>
        <w:lastRenderedPageBreak/>
        <w:t>建设。拨付专项资金796万元，用于义务教育薄弱环节改善与能力提升。拨付资金124万元，用于县图书馆、博物馆及烈士陵园免费、低费开放，加强公共文化服务体系建设，为公众提供更多、更好的公共文化服务。</w:t>
      </w:r>
      <w:r>
        <w:rPr>
          <w:rFonts w:ascii="仿宋_GB2312" w:eastAsia="仿宋_GB2312" w:hAnsi="仿宋_GB2312" w:cs="仿宋_GB2312" w:hint="eastAsia"/>
          <w:b/>
          <w:bCs/>
          <w:color w:val="000000" w:themeColor="text1"/>
          <w:kern w:val="0"/>
          <w:sz w:val="32"/>
          <w:szCs w:val="32"/>
        </w:rPr>
        <w:t>二是推动社会保障体系建设。</w:t>
      </w:r>
      <w:r>
        <w:rPr>
          <w:rFonts w:ascii="仿宋_GB2312" w:eastAsia="仿宋_GB2312" w:hAnsi="仿宋_GB2312" w:cs="仿宋_GB2312" w:hint="eastAsia"/>
          <w:color w:val="000000" w:themeColor="text1"/>
          <w:kern w:val="0"/>
          <w:sz w:val="32"/>
          <w:szCs w:val="32"/>
        </w:rPr>
        <w:t>拨付就业补助资金3,154万元，落实公益性岗位、灵活就业创业社保等补贴政策。拨付资金57,822万元，将企业、机关事业单位退休人员月人均养老金水平分别提高110.82元和150.57元，并按时足额发放。拨付困难群众救助资金7,427万元，保障困难群众的基本生活问题，及时发放低保金、特困供养金等各类救助补助资金，切实兜住困难群众基本生活底线。</w:t>
      </w:r>
      <w:r>
        <w:rPr>
          <w:rFonts w:ascii="仿宋_GB2312" w:eastAsia="仿宋_GB2312" w:hAnsi="仿宋_GB2312" w:cs="仿宋_GB2312" w:hint="eastAsia"/>
          <w:b/>
          <w:bCs/>
          <w:color w:val="000000" w:themeColor="text1"/>
          <w:kern w:val="0"/>
          <w:sz w:val="32"/>
          <w:szCs w:val="32"/>
        </w:rPr>
        <w:t>三是加大公共卫生保障力度。</w:t>
      </w:r>
      <w:r>
        <w:rPr>
          <w:rFonts w:ascii="仿宋_GB2312" w:eastAsia="仿宋_GB2312" w:hAnsi="仿宋_GB2312" w:cs="仿宋_GB2312" w:hint="eastAsia"/>
          <w:color w:val="000000" w:themeColor="text1"/>
          <w:kern w:val="0"/>
          <w:sz w:val="32"/>
          <w:szCs w:val="32"/>
        </w:rPr>
        <w:t>拨付资金1,437万元，支持落实城乡居民基本医疗保险财政补助政策，并将年人均补助标准由580元提高到610元。拨付资金3,781万元，支持城乡医疗救助政策和各类优抚优待及安置等政策全面落实。拨付2,043万元，支持公立医院改革、医疗卫生机构能力提升将基本公共卫生服务人均经费补助标准提高到84元。坚持“特事特办、急事急办”原则，及时有力支持疫情防控。拨付资金5,942万元，足额安排隔离点改造、核酸检测、疫情防控一线城乡社区工作人员工作补助、防疫物资及必要生活物资保供等支出。</w:t>
      </w:r>
      <w:r>
        <w:rPr>
          <w:rFonts w:ascii="仿宋_GB2312" w:eastAsia="仿宋_GB2312" w:hAnsi="仿宋_GB2312" w:cs="仿宋_GB2312" w:hint="eastAsia"/>
          <w:b/>
          <w:bCs/>
          <w:color w:val="000000" w:themeColor="text1"/>
          <w:kern w:val="0"/>
          <w:sz w:val="32"/>
          <w:szCs w:val="32"/>
        </w:rPr>
        <w:t>三是支持城居环境改善。</w:t>
      </w:r>
      <w:r>
        <w:rPr>
          <w:rFonts w:ascii="仿宋_GB2312" w:eastAsia="仿宋_GB2312" w:hAnsi="仿宋_GB2312" w:cs="仿宋_GB2312" w:hint="eastAsia"/>
          <w:color w:val="000000" w:themeColor="text1"/>
          <w:kern w:val="0"/>
          <w:sz w:val="32"/>
          <w:szCs w:val="32"/>
        </w:rPr>
        <w:t>拨付资金4,704万元，支持城镇老旧小区改造6,173户,对全县841户住房保障家庭发放租赁补贴206万元，解决中低收入群体住房困难。拨付资金1,083万元，支付污水处理服务费，降低污染物排放对环境的危害，为全县居民提供良好的水环境。</w:t>
      </w:r>
      <w:r>
        <w:rPr>
          <w:rFonts w:ascii="仿宋_GB2312" w:eastAsia="仿宋_GB2312" w:hAnsi="仿宋_GB2312" w:cs="仿宋_GB2312" w:hint="eastAsia"/>
          <w:b/>
          <w:bCs/>
          <w:color w:val="000000" w:themeColor="text1"/>
          <w:kern w:val="0"/>
          <w:sz w:val="32"/>
          <w:szCs w:val="32"/>
        </w:rPr>
        <w:t>四是强农惠农助推乡村振兴。</w:t>
      </w:r>
      <w:r>
        <w:rPr>
          <w:rFonts w:ascii="仿宋_GB2312" w:eastAsia="仿宋_GB2312" w:hAnsi="仿宋_GB2312" w:cs="仿宋_GB2312" w:hint="eastAsia"/>
          <w:color w:val="000000" w:themeColor="text1"/>
          <w:kern w:val="0"/>
          <w:sz w:val="32"/>
          <w:szCs w:val="32"/>
        </w:rPr>
        <w:t>拨付资金13,014万元，及时发放耕地地力保护补贴。拨付资金5,031万元，发放种粮</w:t>
      </w:r>
      <w:r>
        <w:rPr>
          <w:rFonts w:ascii="仿宋_GB2312" w:eastAsia="仿宋_GB2312" w:hAnsi="仿宋_GB2312" w:cs="仿宋_GB2312" w:hint="eastAsia"/>
          <w:color w:val="000000" w:themeColor="text1"/>
          <w:kern w:val="0"/>
          <w:sz w:val="32"/>
          <w:szCs w:val="32"/>
        </w:rPr>
        <w:lastRenderedPageBreak/>
        <w:t>农民一次性补贴。拨付资金32,299万元，发放生产者补贴。拨付资金4,924万元，用于巩固拓展脱贫攻坚成果和乡村振兴有效衔接资金实施项目，建设6个乡镇8个村屯的村内硬化道路、硬质边沟、栅栏，其中硬质路面共计23.59公里。</w:t>
      </w:r>
    </w:p>
    <w:p w14:paraId="640CD508"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（四）科学规范管理，提升财政理财水平</w:t>
      </w:r>
    </w:p>
    <w:p w14:paraId="5B5582CC"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一是推进预算管理改革。</w:t>
      </w:r>
      <w:r>
        <w:rPr>
          <w:rFonts w:ascii="仿宋_GB2312" w:eastAsia="仿宋_GB2312" w:hAnsi="仿宋_GB2312" w:cs="仿宋_GB2312" w:hint="eastAsia"/>
          <w:color w:val="000000" w:themeColor="text1"/>
          <w:sz w:val="32"/>
          <w:szCs w:val="32"/>
        </w:rPr>
        <w:t>全面上线预算管理一体化系统，实现政府预算、部门预算、单位预算、上下级预算之间的无缝衔接、动态反映和有效控制，形成全链条、全流程、全业务覆盖的预算管理体系。2022年，共办理支付业务55,068笔，资金指标总额67.75亿元。改善了过去预算管理中存在管理分散、集中化程度不高、业务协同和数据共享困难等情况，统一了预算管理模式和管理流程，实现了预算管理一个模式、资金支付一个流程、会计核算一个平台、数据集中一个体系，标志着“制度+技术”预算管理模式的正式建立，使全县预算管理改革进入新阶段</w:t>
      </w:r>
      <w:r>
        <w:rPr>
          <w:rFonts w:ascii="仿宋_GB2312" w:eastAsia="仿宋_GB2312" w:hAnsi="仿宋_GB2312" w:cs="仿宋_GB2312" w:hint="eastAsia"/>
          <w:sz w:val="32"/>
          <w:szCs w:val="32"/>
        </w:rPr>
        <w:t>。</w:t>
      </w:r>
      <w:r>
        <w:rPr>
          <w:rFonts w:ascii="仿宋_GB2312" w:eastAsia="仿宋_GB2312" w:hAnsi="仿宋_GB2312" w:cs="仿宋_GB2312" w:hint="eastAsia"/>
          <w:b/>
          <w:bCs/>
          <w:color w:val="000000" w:themeColor="text1"/>
          <w:sz w:val="32"/>
          <w:szCs w:val="32"/>
        </w:rPr>
        <w:t>二是规范完善绩效管理。</w:t>
      </w:r>
      <w:r>
        <w:rPr>
          <w:rFonts w:ascii="仿宋_GB2312" w:eastAsia="仿宋_GB2312" w:hAnsi="仿宋_GB2312" w:cs="仿宋_GB2312" w:hint="eastAsia"/>
          <w:color w:val="000000" w:themeColor="text1"/>
          <w:sz w:val="32"/>
          <w:szCs w:val="32"/>
        </w:rPr>
        <w:t>将预算绩效管理实质性融入预算管理全过程，完善绩效目标管理，规范绩效指标设定，加强绩效结果应用，将绩效结果作为完善政策、安排预算、改进管理的重要依据。</w:t>
      </w:r>
      <w:r>
        <w:rPr>
          <w:rFonts w:ascii="仿宋_GB2312" w:eastAsia="仿宋_GB2312" w:hAnsi="仿宋_GB2312" w:cs="仿宋_GB2312" w:hint="eastAsia"/>
          <w:b/>
          <w:bCs/>
          <w:color w:val="000000" w:themeColor="text1"/>
          <w:sz w:val="32"/>
          <w:szCs w:val="32"/>
        </w:rPr>
        <w:t>三是规范政府采购及投资评审管理。</w:t>
      </w:r>
      <w:r>
        <w:rPr>
          <w:rFonts w:ascii="仿宋_GB2312" w:eastAsia="仿宋_GB2312" w:hAnsi="仿宋_GB2312" w:cs="仿宋_GB2312" w:hint="eastAsia"/>
          <w:color w:val="000000" w:themeColor="text1"/>
          <w:sz w:val="32"/>
          <w:szCs w:val="32"/>
        </w:rPr>
        <w:t>建章立制、强化监督，完善落实集中采购目录及标准、政府采购基本行为规范等制度，2022年共计完成采购计划49,553万元，涉及项目数量210笔，节约资金1,801万元，节支率4%；共完成政府投资项目评审194项，审减资金13,242万元，平均审减率为11%。</w:t>
      </w:r>
      <w:r>
        <w:rPr>
          <w:rFonts w:ascii="仿宋_GB2312" w:eastAsia="仿宋_GB2312" w:hAnsi="仿宋_GB2312" w:cs="仿宋_GB2312" w:hint="eastAsia"/>
          <w:b/>
          <w:bCs/>
          <w:color w:val="000000" w:themeColor="text1"/>
          <w:sz w:val="32"/>
          <w:szCs w:val="32"/>
        </w:rPr>
        <w:t>四是落实国企改革三年行动</w:t>
      </w:r>
      <w:r>
        <w:rPr>
          <w:rFonts w:ascii="仿宋_GB2312" w:eastAsia="仿宋_GB2312" w:hAnsi="仿宋_GB2312" w:cs="仿宋_GB2312" w:hint="eastAsia"/>
          <w:color w:val="000000" w:themeColor="text1"/>
          <w:sz w:val="32"/>
          <w:szCs w:val="32"/>
        </w:rPr>
        <w:t>。制定</w:t>
      </w:r>
      <w:r>
        <w:rPr>
          <w:rFonts w:ascii="仿宋_GB2312" w:eastAsia="仿宋_GB2312" w:hAnsi="仿宋_GB2312" w:cs="仿宋_GB2312" w:hint="eastAsia"/>
          <w:sz w:val="32"/>
          <w:szCs w:val="44"/>
        </w:rPr>
        <w:t>落实国企改革三年行动、“十周攻坚战”等实施方案，完善了县属国有企业现代化企业制度，把党的领导融入企业治理环节，形成了对国</w:t>
      </w:r>
      <w:r>
        <w:rPr>
          <w:rFonts w:ascii="仿宋_GB2312" w:eastAsia="仿宋_GB2312" w:hAnsi="仿宋_GB2312" w:cs="仿宋_GB2312" w:hint="eastAsia"/>
          <w:sz w:val="32"/>
          <w:szCs w:val="44"/>
        </w:rPr>
        <w:lastRenderedPageBreak/>
        <w:t>有企业的统一监管。全力推进国有企业退休人员社会化管理工作，妥善解决历史遗留问题，全县国企改革三年行动21项改革任务基本完成</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b/>
          <w:bCs/>
          <w:color w:val="000000" w:themeColor="text1"/>
          <w:sz w:val="32"/>
          <w:szCs w:val="32"/>
        </w:rPr>
        <w:t>五是持续开展财经秩序专项整治行动</w:t>
      </w:r>
      <w:r>
        <w:rPr>
          <w:rFonts w:ascii="仿宋_GB2312" w:eastAsia="仿宋_GB2312" w:hAnsi="仿宋_GB2312" w:cs="仿宋_GB2312" w:hint="eastAsia"/>
          <w:color w:val="000000" w:themeColor="text1"/>
          <w:sz w:val="32"/>
          <w:szCs w:val="32"/>
        </w:rPr>
        <w:t>。建立自查自纠长效机制，实现我县财经秩序根本性好转。推动“两稳一保”政策再细化再落实，进一步释放政策效应，全力推动经济合理增长，稳住宏观经济大盘，充分发挥出财政做为国家治理基础和重要支柱的职能作用。</w:t>
      </w:r>
    </w:p>
    <w:p w14:paraId="7A87C5B7"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（五）健全监管机制，防范财政运行风险</w:t>
      </w:r>
    </w:p>
    <w:p w14:paraId="45B8F61D" w14:textId="3381BFE5"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一是加强财政资金直达机制。</w:t>
      </w:r>
      <w:r>
        <w:rPr>
          <w:rFonts w:ascii="仿宋_GB2312" w:eastAsia="仿宋_GB2312" w:hAnsi="仿宋_GB2312" w:cs="仿宋_GB2312" w:hint="eastAsia"/>
          <w:color w:val="000000" w:themeColor="text1"/>
          <w:sz w:val="32"/>
          <w:szCs w:val="32"/>
        </w:rPr>
        <w:t>坚持“用、管”并重，确保直达资金惠企利民。构建了县委</w:t>
      </w:r>
      <w:r w:rsidR="00D87703">
        <w:rPr>
          <w:rFonts w:ascii="仿宋_GB2312" w:eastAsia="仿宋_GB2312" w:hAnsi="仿宋_GB2312" w:cs="仿宋_GB2312" w:hint="eastAsia"/>
          <w:color w:val="000000" w:themeColor="text1"/>
          <w:sz w:val="32"/>
          <w:szCs w:val="32"/>
        </w:rPr>
        <w:t>县</w:t>
      </w:r>
      <w:r>
        <w:rPr>
          <w:rFonts w:ascii="仿宋_GB2312" w:eastAsia="仿宋_GB2312" w:hAnsi="仿宋_GB2312" w:cs="仿宋_GB2312" w:hint="eastAsia"/>
          <w:color w:val="000000" w:themeColor="text1"/>
          <w:sz w:val="32"/>
          <w:szCs w:val="32"/>
        </w:rPr>
        <w:t>政府主导、财政主责、部门主管的直达资金管理使用体系，明确了直达资金的惠民性、保障性，突出了直达资金的直达性、精准性、规范性。2022年，通过直达资金监管系统，共完成资金拨付96,866万元，支出进度88.4%，依托直达资金动态监控系统，加强了对口直达资金的日常监管，并及时核实处理监控系统预警信息。</w:t>
      </w:r>
      <w:r>
        <w:rPr>
          <w:rFonts w:ascii="仿宋_GB2312" w:eastAsia="仿宋_GB2312" w:hAnsi="仿宋_GB2312" w:cs="仿宋_GB2312" w:hint="eastAsia"/>
          <w:b/>
          <w:bCs/>
          <w:color w:val="000000" w:themeColor="text1"/>
          <w:sz w:val="32"/>
          <w:szCs w:val="32"/>
        </w:rPr>
        <w:t>二是加强政府性债务管理。</w:t>
      </w:r>
      <w:r>
        <w:rPr>
          <w:rFonts w:ascii="仿宋_GB2312" w:eastAsia="仿宋_GB2312" w:hAnsi="仿宋_GB2312" w:cs="仿宋_GB2312" w:hint="eastAsia"/>
          <w:color w:val="000000" w:themeColor="text1"/>
          <w:sz w:val="32"/>
          <w:szCs w:val="32"/>
        </w:rPr>
        <w:t>落实偿债主体责任，强化工作监督考核，确保到期债务如期偿还。进一步规范举债融资行为，坚决遏制新增地方政府隐性债务。积极采取 PPP 等多种方式，推动政府债务化解工作。依法在国家核定法定政府债务限额内举借政府债务，坚决遏制新增地方政府隐性债务，妥善化解隐性债务存量，守住不发生系统性风险底线。</w:t>
      </w:r>
    </w:p>
    <w:p w14:paraId="63C6A175"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各位代表，以上成绩的取得，是县委、县政府坚强领导、真抓实干的结果，是县人大、县政协及代表委员们大力支持、共同努力的结果，也是各部门勇往直前、团结拼搏的结果。</w:t>
      </w:r>
    </w:p>
    <w:p w14:paraId="562CE70F"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在总结成绩的同时，我们也看到财政预算执行还存在一些</w:t>
      </w:r>
      <w:r>
        <w:rPr>
          <w:rFonts w:ascii="仿宋_GB2312" w:eastAsia="仿宋_GB2312" w:hAnsi="仿宋_GB2312" w:cs="仿宋_GB2312" w:hint="eastAsia"/>
          <w:color w:val="000000" w:themeColor="text1"/>
          <w:sz w:val="32"/>
          <w:szCs w:val="32"/>
        </w:rPr>
        <w:lastRenderedPageBreak/>
        <w:t>问题，</w:t>
      </w:r>
      <w:r>
        <w:rPr>
          <w:rFonts w:ascii="仿宋_GB2312" w:eastAsia="仿宋_GB2312" w:hAnsi="仿宋_GB2312" w:cs="仿宋_GB2312" w:hint="eastAsia"/>
          <w:b/>
          <w:bCs/>
          <w:color w:val="000000" w:themeColor="text1"/>
          <w:sz w:val="32"/>
          <w:szCs w:val="32"/>
        </w:rPr>
        <w:t>一是收入方面。</w:t>
      </w:r>
      <w:r>
        <w:rPr>
          <w:rFonts w:ascii="仿宋_GB2312" w:eastAsia="仿宋_GB2312" w:hAnsi="仿宋_GB2312" w:cs="仿宋_GB2312" w:hint="eastAsia"/>
          <w:color w:val="000000" w:themeColor="text1"/>
          <w:sz w:val="32"/>
          <w:szCs w:val="32"/>
        </w:rPr>
        <w:t>由于减税降费政策的扩围，特别是增值税留抵退税政策导致县级税收收入大幅减收，因增值税留抵退税影响全年一般公共预算收入中税收减少8,799万元，降低了财政收入质量。</w:t>
      </w:r>
      <w:r>
        <w:rPr>
          <w:rFonts w:ascii="仿宋_GB2312" w:eastAsia="仿宋_GB2312" w:hAnsi="仿宋_GB2312" w:cs="仿宋_GB2312" w:hint="eastAsia"/>
          <w:b/>
          <w:bCs/>
          <w:color w:val="000000" w:themeColor="text1"/>
          <w:sz w:val="32"/>
          <w:szCs w:val="32"/>
        </w:rPr>
        <w:t>二是支出方面。</w:t>
      </w:r>
      <w:r>
        <w:rPr>
          <w:rFonts w:ascii="仿宋_GB2312" w:eastAsia="仿宋_GB2312" w:hAnsi="仿宋_GB2312" w:cs="仿宋_GB2312" w:hint="eastAsia"/>
          <w:color w:val="000000" w:themeColor="text1"/>
          <w:sz w:val="32"/>
          <w:szCs w:val="32"/>
        </w:rPr>
        <w:t>随着工资水平的调整、兑现行政事业单位人员2021-2022年绩效工资等支出2022年当年需要资金15,731万元(不含附加支出)，此外疫情防控、困难群体救助等其他刚性支出导致支出规模也在不断扩大。</w:t>
      </w:r>
      <w:r>
        <w:rPr>
          <w:rFonts w:ascii="仿宋_GB2312" w:eastAsia="仿宋_GB2312" w:hAnsi="仿宋_GB2312" w:cs="仿宋_GB2312" w:hint="eastAsia"/>
          <w:b/>
          <w:bCs/>
          <w:color w:val="000000" w:themeColor="text1"/>
          <w:sz w:val="32"/>
          <w:szCs w:val="32"/>
        </w:rPr>
        <w:t>三是债务方面。</w:t>
      </w:r>
      <w:r>
        <w:rPr>
          <w:rFonts w:ascii="仿宋_GB2312" w:eastAsia="仿宋_GB2312" w:hAnsi="仿宋_GB2312" w:cs="仿宋_GB2312" w:hint="eastAsia"/>
          <w:color w:val="000000" w:themeColor="text1"/>
          <w:sz w:val="32"/>
          <w:szCs w:val="32"/>
        </w:rPr>
        <w:t>2022年县财政按照偿债计划，全年偿还地方政府一般债券本金27,141万元；政府债券付息支出23,370万元，超出了现有财力的承受能力。接下来我们将高度重视这些问题，采取有效措施加以解决。</w:t>
      </w:r>
    </w:p>
    <w:p w14:paraId="13A91753" w14:textId="77777777" w:rsidR="00007C75" w:rsidRDefault="00000000">
      <w:pPr>
        <w:widowControl w:val="0"/>
        <w:spacing w:after="0" w:line="56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四、2023年财政预算安排（草案）</w:t>
      </w:r>
    </w:p>
    <w:p w14:paraId="58F07BB4" w14:textId="77777777" w:rsidR="00007C75" w:rsidRDefault="00000000">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2023年是“十四五”规划最关键的一年，是承前启后的一年。我们将顺应高质量发展需求，坚持稳中求进的工作总基调，更好统筹疫情防控和经济社会发展，更好统筹发展与安全，更好地发挥财政基础和重要支柱作用，防范经化解重大风险，全力打造“六型”财政，为我县全面发展提供坚实财力保障和强大物质基础。</w:t>
      </w:r>
    </w:p>
    <w:p w14:paraId="1CC69D35" w14:textId="77777777" w:rsidR="00007C75" w:rsidRDefault="00000000">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2023年全县财政工作指导思想是：坚持以习近平新时代中国特色社会主义思想为指导，深入贯彻党的二十大精神，全面落实省市会议精神，围绕县委县政府工作部署要求，坚决贯彻新发展理念，服务构建新发展格局，更好发挥财政职能作用，加强统筹财政资源，深入推进财政改革，不断提升财政治理服务效能。</w:t>
      </w:r>
    </w:p>
    <w:p w14:paraId="0A89B48D" w14:textId="77777777" w:rsidR="00007C75" w:rsidRDefault="00000000">
      <w:pPr>
        <w:widowControl w:val="0"/>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围绕上述指导思想，2023年预算草案安排如下：</w:t>
      </w:r>
    </w:p>
    <w:p w14:paraId="5FE044D6"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lastRenderedPageBreak/>
        <w:t>（一）2023年一般公共预算收支预算</w:t>
      </w:r>
    </w:p>
    <w:p w14:paraId="39BDA7C0" w14:textId="77777777" w:rsidR="00007C75" w:rsidRDefault="00000000">
      <w:pPr>
        <w:widowControl w:val="0"/>
        <w:spacing w:after="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2023年一般公共预算总收入392,437万元，其中：（1）全县2023年县级一般公共预算收入76,189万元，比2022年完成数增长10%（其中：税收收入完成38,100万元，非税收入完成38,089万元）；（2）上级税收返还性收入及提前告知转移支付补助收入244,906万元；（3）调入资金148万元；（4）上年结转71,194万元。</w:t>
      </w:r>
    </w:p>
    <w:p w14:paraId="3BD93AB4" w14:textId="77777777" w:rsidR="00007C75" w:rsidRDefault="00000000">
      <w:pPr>
        <w:widowControl w:val="0"/>
        <w:spacing w:after="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2、2023年一般公共预算总支出392,437万元，其中：（1）一般公共预算支出387,769万元；（2）上解上级支出4,668万元。一般公共预算收支总量相抵后，当年财政收支平衡。</w:t>
      </w:r>
    </w:p>
    <w:p w14:paraId="17ADEFF2" w14:textId="77777777" w:rsidR="00007C75" w:rsidRDefault="00000000">
      <w:pPr>
        <w:widowControl w:val="0"/>
        <w:spacing w:after="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需要说明的是：受财力限制，仍有很大一部分新增项目支出无法在一般公共预算支出中予以安排，如债务本息偿还、部分民生项目支出等，对此，需要通过争取地方政府新增债券、上级转移支付补助、统筹使用部分省专项等方式予以解决。</w:t>
      </w:r>
    </w:p>
    <w:p w14:paraId="06DAE79E"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（二）2023年政府性基金预算</w:t>
      </w:r>
    </w:p>
    <w:p w14:paraId="16F43D91" w14:textId="77777777" w:rsidR="00007C75" w:rsidRDefault="00000000">
      <w:pPr>
        <w:widowControl w:val="0"/>
        <w:spacing w:after="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全县政府性基金收入预算安排22,020万元，其中：（1）县级政府性基金预算收入预计完成6,500万元；（2）上级补助收入329万元；（3）上年结转15,191万元。2023年全县政府性基金支出预算安排22,020万元，其中：（1）县级政府性基金预算支出21,872万元；（2）调出资金148万元。收支相抵，实现平衡。</w:t>
      </w:r>
    </w:p>
    <w:p w14:paraId="32EA9AC0"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（三）2023年国有资本经营预算</w:t>
      </w:r>
    </w:p>
    <w:p w14:paraId="6D3F7EA1" w14:textId="77777777" w:rsidR="00007C75" w:rsidRDefault="00000000">
      <w:pPr>
        <w:widowControl w:val="0"/>
        <w:spacing w:after="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2023年，国有资本经营预算总收入安排1,041万元，其中：（1）上级补助收入932万元；（2）上年结余109万元。全县国有资本经营预算支出完成1,041万元。</w:t>
      </w:r>
    </w:p>
    <w:p w14:paraId="37E9E03F" w14:textId="77777777" w:rsidR="00007C75" w:rsidRDefault="00000000">
      <w:pPr>
        <w:widowControl w:val="0"/>
        <w:spacing w:after="0" w:line="560" w:lineRule="exact"/>
        <w:ind w:firstLine="660"/>
        <w:jc w:val="both"/>
        <w:rPr>
          <w:rFonts w:ascii="楷体_GB2312" w:eastAsia="楷体_GB2312" w:hAnsi="楷体_GB2312" w:cs="楷体_GB2312"/>
          <w:b/>
          <w:bCs/>
          <w:color w:val="484848"/>
          <w:spacing w:val="-11"/>
          <w:sz w:val="32"/>
          <w:szCs w:val="32"/>
        </w:rPr>
      </w:pPr>
      <w:r>
        <w:rPr>
          <w:rFonts w:ascii="楷体_GB2312" w:eastAsia="楷体_GB2312" w:hAnsi="楷体_GB2312" w:cs="楷体_GB2312" w:hint="eastAsia"/>
          <w:b/>
          <w:color w:val="000000" w:themeColor="text1"/>
          <w:sz w:val="32"/>
          <w:szCs w:val="32"/>
        </w:rPr>
        <w:lastRenderedPageBreak/>
        <w:t>（四）2023年全县社保基金预</w:t>
      </w:r>
      <w:r>
        <w:rPr>
          <w:rFonts w:ascii="楷体_GB2312" w:eastAsia="楷体_GB2312" w:hAnsi="楷体_GB2312" w:cs="楷体_GB2312" w:hint="eastAsia"/>
          <w:b/>
          <w:bCs/>
          <w:color w:val="484848"/>
          <w:spacing w:val="-11"/>
          <w:sz w:val="32"/>
          <w:szCs w:val="32"/>
        </w:rPr>
        <w:t>算</w:t>
      </w:r>
    </w:p>
    <w:p w14:paraId="224CB12C" w14:textId="77777777" w:rsidR="00007C75" w:rsidRDefault="00000000">
      <w:pPr>
        <w:widowControl w:val="0"/>
        <w:spacing w:after="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2023年，县级负责统筹管理的机关事业单位基本养老保险、城乡居民基本养老保险和城乡居民基本医疗保险等三项社会保险基金预算收入共计69,498万元，安排基金预算支出62,774万元，当年基金收支结余6,724万元。</w:t>
      </w:r>
    </w:p>
    <w:p w14:paraId="7335A81E" w14:textId="77777777" w:rsidR="00007C75" w:rsidRDefault="00000000">
      <w:pPr>
        <w:widowControl w:val="0"/>
        <w:spacing w:after="0" w:line="560" w:lineRule="exact"/>
        <w:ind w:firstLine="645"/>
        <w:jc w:val="both"/>
        <w:rPr>
          <w:rFonts w:ascii="黑体" w:eastAsia="黑体" w:hAnsi="黑体"/>
          <w:sz w:val="32"/>
          <w:szCs w:val="32"/>
        </w:rPr>
      </w:pPr>
      <w:r>
        <w:rPr>
          <w:rFonts w:ascii="黑体" w:eastAsia="黑体" w:hAnsi="黑体" w:hint="eastAsia"/>
          <w:sz w:val="32"/>
          <w:szCs w:val="32"/>
        </w:rPr>
        <w:t>五、2023年地方政府法定债务还本付息情况</w:t>
      </w:r>
    </w:p>
    <w:p w14:paraId="6C7F7D82" w14:textId="77777777" w:rsidR="00007C75" w:rsidRDefault="00000000">
      <w:pPr>
        <w:widowControl w:val="0"/>
        <w:spacing w:after="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宝清县2023年到期债券总额为76,608万元（本金51,434万元、利息25,170万元、服务费4万元），其中：一般债券到期金额为46,234万元（本金31,997万元、利息14,235万元、服务费2万元），专项债券到期金额为30,374万元（本金19,437万元、利息10,936万元、服务费1万元）。</w:t>
      </w:r>
    </w:p>
    <w:p w14:paraId="71FED2BE" w14:textId="77777777" w:rsidR="00007C75" w:rsidRDefault="00000000">
      <w:pPr>
        <w:widowControl w:val="0"/>
        <w:spacing w:after="0" w:line="560" w:lineRule="exact"/>
        <w:ind w:firstLine="645"/>
        <w:jc w:val="both"/>
        <w:rPr>
          <w:rFonts w:ascii="黑体" w:eastAsia="黑体" w:hAnsi="黑体"/>
          <w:sz w:val="32"/>
          <w:szCs w:val="32"/>
        </w:rPr>
      </w:pPr>
      <w:r>
        <w:rPr>
          <w:rFonts w:ascii="黑体" w:eastAsia="黑体" w:hAnsi="黑体" w:hint="eastAsia"/>
          <w:sz w:val="32"/>
          <w:szCs w:val="32"/>
        </w:rPr>
        <w:t>六、2023年主要工作安排</w:t>
      </w:r>
    </w:p>
    <w:p w14:paraId="57E7C03A" w14:textId="77777777" w:rsidR="00007C75" w:rsidRDefault="00000000">
      <w:pPr>
        <w:widowControl w:val="0"/>
        <w:spacing w:after="0" w:line="560" w:lineRule="exact"/>
        <w:ind w:firstLine="645"/>
        <w:jc w:val="both"/>
        <w:rPr>
          <w:rFonts w:ascii="仿宋" w:eastAsia="仿宋" w:hAnsi="仿宋"/>
          <w:color w:val="000000" w:themeColor="text1"/>
          <w:sz w:val="32"/>
          <w:szCs w:val="32"/>
        </w:rPr>
      </w:pPr>
      <w:r>
        <w:rPr>
          <w:rFonts w:ascii="仿宋_GB2312" w:eastAsia="仿宋_GB2312" w:hAnsi="仿宋_GB2312" w:cs="仿宋_GB2312" w:hint="eastAsia"/>
          <w:color w:val="000000" w:themeColor="text1"/>
          <w:sz w:val="32"/>
          <w:szCs w:val="32"/>
        </w:rPr>
        <w:t>2023年，财政部门将始终坚持以政领财、以财辅政，坚持民之所忧、财之所行，坚持踔厉奋发、笃行不怠，坚持慎重决策、慎重用权，严格落实各项减税降费政策和政府过紧日子要求,切实加强“三保”保障，重点抓好以下工作</w:t>
      </w:r>
      <w:r>
        <w:rPr>
          <w:rFonts w:ascii="仿宋" w:eastAsia="仿宋" w:hAnsi="仿宋" w:hint="eastAsia"/>
          <w:sz w:val="32"/>
          <w:szCs w:val="32"/>
        </w:rPr>
        <w:t>：</w:t>
      </w:r>
    </w:p>
    <w:p w14:paraId="70C65EFD"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（一）聚焦组织收入，优化支出结构</w:t>
      </w:r>
    </w:p>
    <w:p w14:paraId="0536FBA9" w14:textId="77777777" w:rsidR="00007C75" w:rsidRDefault="00000000">
      <w:pPr>
        <w:widowControl w:val="0"/>
        <w:spacing w:after="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依法征收与强化征管“双管齐下”，积极推进联合协同综合治税，确保税收应收尽收，“颗粒归仓”；切实加强非税收入管理，科学运营国有资产，实现收益长期稳定良性增长，实现县级财政收入质的有效提升和量的合理增长。严格把握预算安排方向，坚持“三保”支出在财政支出中的优先顺序，落实政府“过紧日子”要求，大力压缩一般性支出，严格控制非急需、非刚性支出。加强支出监控，对低效无效支出予以压减或取消，及时收回调整支出进度偏慢、使用效果不佳的资金，统</w:t>
      </w:r>
      <w:r>
        <w:rPr>
          <w:rFonts w:ascii="仿宋_GB2312" w:eastAsia="仿宋_GB2312" w:hAnsi="仿宋_GB2312" w:cs="仿宋_GB2312" w:hint="eastAsia"/>
          <w:color w:val="000000" w:themeColor="text1"/>
          <w:sz w:val="32"/>
          <w:szCs w:val="32"/>
        </w:rPr>
        <w:lastRenderedPageBreak/>
        <w:t>筹财力保重点保急需。</w:t>
      </w:r>
    </w:p>
    <w:p w14:paraId="29613DAA"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（二）发挥财政职能，做实民生保障</w:t>
      </w:r>
    </w:p>
    <w:p w14:paraId="1287703D" w14:textId="77777777" w:rsidR="00007C75" w:rsidRDefault="00000000">
      <w:pPr>
        <w:widowControl w:val="0"/>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加大对公共教育、公共文化、公共卫生、生活保障、就业保障、医疗保障等民生和基本公共服务均等化资金的投入，提高财政资金的使用效益，全面提升基本公共服务质量。</w:t>
      </w:r>
      <w:r>
        <w:rPr>
          <w:rFonts w:ascii="仿宋_GB2312" w:eastAsia="仿宋_GB2312" w:hAnsi="仿宋_GB2312" w:cs="仿宋_GB2312" w:hint="eastAsia"/>
          <w:b/>
          <w:bCs/>
          <w:color w:val="000000" w:themeColor="text1"/>
          <w:sz w:val="32"/>
          <w:szCs w:val="32"/>
        </w:rPr>
        <w:t>一是积极落实优抚对象保障政策。</w:t>
      </w:r>
      <w:r>
        <w:rPr>
          <w:rFonts w:ascii="仿宋_GB2312" w:eastAsia="仿宋_GB2312" w:hAnsi="仿宋_GB2312" w:cs="仿宋_GB2312" w:hint="eastAsia"/>
          <w:color w:val="000000" w:themeColor="text1"/>
          <w:sz w:val="32"/>
          <w:szCs w:val="32"/>
        </w:rPr>
        <w:t>坚持把优抚对象保障工作纳入重要民生实事保障范围，落实好优抚对象基本生活和医疗待遇享受。</w:t>
      </w:r>
      <w:r>
        <w:rPr>
          <w:rFonts w:ascii="仿宋_GB2312" w:eastAsia="仿宋_GB2312" w:hAnsi="仿宋_GB2312" w:cs="仿宋_GB2312" w:hint="eastAsia"/>
          <w:b/>
          <w:bCs/>
          <w:color w:val="000000" w:themeColor="text1"/>
          <w:sz w:val="32"/>
          <w:szCs w:val="32"/>
        </w:rPr>
        <w:t>二是落实城乡医疗救助政策。</w:t>
      </w:r>
      <w:r>
        <w:rPr>
          <w:rFonts w:ascii="仿宋_GB2312" w:eastAsia="仿宋_GB2312" w:hAnsi="仿宋_GB2312" w:cs="仿宋_GB2312" w:hint="eastAsia"/>
          <w:color w:val="000000" w:themeColor="text1"/>
          <w:sz w:val="32"/>
          <w:szCs w:val="32"/>
        </w:rPr>
        <w:t>做好城乡居民医疗保障工作，夯实医疗救助托底保障作用，不断强化医疗保障，守住基本民生。全面落实低保、特困救助政策，将符合条件的困难群众全部纳入补助范围，做到应保尽保、应退尽退。</w:t>
      </w:r>
      <w:r>
        <w:rPr>
          <w:rFonts w:ascii="仿宋_GB2312" w:eastAsia="仿宋_GB2312" w:hAnsi="仿宋_GB2312" w:cs="仿宋_GB2312" w:hint="eastAsia"/>
          <w:b/>
          <w:bCs/>
          <w:color w:val="000000" w:themeColor="text1"/>
          <w:sz w:val="32"/>
          <w:szCs w:val="32"/>
        </w:rPr>
        <w:t>三是积极保障重点群体就业创业。</w:t>
      </w:r>
      <w:r>
        <w:rPr>
          <w:rFonts w:ascii="仿宋_GB2312" w:eastAsia="仿宋_GB2312" w:hAnsi="仿宋_GB2312" w:cs="仿宋_GB2312" w:hint="eastAsia"/>
          <w:color w:val="000000" w:themeColor="text1"/>
          <w:sz w:val="32"/>
          <w:szCs w:val="32"/>
        </w:rPr>
        <w:t>坚定实施就业优先战略，统筹整合中央、省级就业专项资金，支持高校毕业生、农民工、退役军人等重点群体就业，落实创业担保贷款贴息等扶持政策，稳岗就业促创业，鼓励创业带动就业。</w:t>
      </w:r>
      <w:r>
        <w:rPr>
          <w:rFonts w:ascii="仿宋_GB2312" w:eastAsia="仿宋_GB2312" w:hAnsi="仿宋_GB2312" w:cs="仿宋_GB2312" w:hint="eastAsia"/>
          <w:b/>
          <w:bCs/>
          <w:color w:val="000000" w:themeColor="text1"/>
          <w:sz w:val="32"/>
          <w:szCs w:val="32"/>
        </w:rPr>
        <w:t>四是积极统筹财政资金，助力乡村振兴。</w:t>
      </w:r>
      <w:r>
        <w:rPr>
          <w:rFonts w:ascii="仿宋_GB2312" w:eastAsia="仿宋_GB2312" w:hAnsi="仿宋_GB2312" w:cs="仿宋_GB2312" w:hint="eastAsia"/>
          <w:color w:val="000000" w:themeColor="text1"/>
          <w:sz w:val="32"/>
          <w:szCs w:val="32"/>
        </w:rPr>
        <w:t>健全投入保障制度，确保财政投入与全面推进乡村振兴加快农业农村现代化目标相适应。</w:t>
      </w:r>
    </w:p>
    <w:p w14:paraId="70E98097"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（三）激发改革活力，深化预算改革</w:t>
      </w:r>
    </w:p>
    <w:p w14:paraId="48F7160B" w14:textId="77777777" w:rsidR="00007C75" w:rsidRDefault="00000000">
      <w:pPr>
        <w:widowControl w:val="0"/>
        <w:spacing w:after="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预算法》的规定，进一步完善预算管理制度，科学合理编制预算，强化预算执行，硬化预算约束。在加快预算管理一体化系统建设上持续发力，建立全覆盖，全链条的资金支付动态监控机制，实现支出与经济发展相协调，与财力相匹配，切实提高财政资金使用效益，加强对重点部门绩效目标设定和重点项目绩效评价工作，将预算绩效结果与预算安排直接挂钩，削减或取消低效无效资金，将节省下来的钱用来保障重点领域</w:t>
      </w:r>
      <w:r>
        <w:rPr>
          <w:rFonts w:ascii="仿宋_GB2312" w:eastAsia="仿宋_GB2312" w:hAnsi="仿宋_GB2312" w:cs="仿宋_GB2312" w:hint="eastAsia"/>
          <w:color w:val="000000" w:themeColor="text1"/>
          <w:sz w:val="32"/>
          <w:szCs w:val="32"/>
        </w:rPr>
        <w:lastRenderedPageBreak/>
        <w:t>支出。</w:t>
      </w:r>
    </w:p>
    <w:p w14:paraId="4A158122"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（四）坚持底线思维，防范运行风险</w:t>
      </w:r>
    </w:p>
    <w:p w14:paraId="3607C6BA" w14:textId="77777777" w:rsidR="00007C75" w:rsidRDefault="00000000">
      <w:pPr>
        <w:widowControl w:val="0"/>
        <w:spacing w:after="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一是保证财政平稳运行。</w:t>
      </w:r>
      <w:r>
        <w:rPr>
          <w:rFonts w:ascii="仿宋_GB2312" w:eastAsia="仿宋_GB2312" w:hAnsi="仿宋_GB2312" w:cs="仿宋_GB2312" w:hint="eastAsia"/>
          <w:color w:val="000000" w:themeColor="text1"/>
          <w:sz w:val="32"/>
          <w:szCs w:val="32"/>
        </w:rPr>
        <w:t>在经济运行不确定性，不稳定性增加的情况下突围，克服财政增收难，可用财力不足等压力，及时捕捉财政运行中的风险点，兜牢"三保"底线，确保收支平稳运行。</w:t>
      </w:r>
      <w:r>
        <w:rPr>
          <w:rFonts w:ascii="仿宋_GB2312" w:eastAsia="仿宋_GB2312" w:hAnsi="仿宋_GB2312" w:cs="仿宋_GB2312" w:hint="eastAsia"/>
          <w:b/>
          <w:bCs/>
          <w:color w:val="000000" w:themeColor="text1"/>
          <w:sz w:val="32"/>
          <w:szCs w:val="32"/>
        </w:rPr>
        <w:t>二是控制政府债务风险。</w:t>
      </w:r>
      <w:r>
        <w:rPr>
          <w:rFonts w:ascii="仿宋_GB2312" w:eastAsia="仿宋_GB2312" w:hAnsi="仿宋_GB2312" w:cs="仿宋_GB2312" w:hint="eastAsia"/>
          <w:color w:val="000000" w:themeColor="text1"/>
          <w:sz w:val="32"/>
          <w:szCs w:val="32"/>
        </w:rPr>
        <w:t>加强政府债务风险监测和分析评估，坚决杜绝新增隐性债务，大力化解存量债务，坚持“资金跟着项目走”确保政府债券资金使用高效、风险总体可控。</w:t>
      </w:r>
    </w:p>
    <w:p w14:paraId="635F8B16" w14:textId="77777777" w:rsidR="00007C75" w:rsidRDefault="00000000">
      <w:pPr>
        <w:widowControl w:val="0"/>
        <w:spacing w:after="0" w:line="560" w:lineRule="exact"/>
        <w:ind w:firstLineChars="200" w:firstLine="640"/>
        <w:jc w:val="both"/>
        <w:rPr>
          <w:rFonts w:ascii="楷体_GB2312" w:eastAsia="楷体_GB2312" w:hAnsi="楷体_GB2312" w:cs="楷体_GB2312"/>
          <w:b/>
          <w:color w:val="000000" w:themeColor="text1"/>
          <w:sz w:val="32"/>
          <w:szCs w:val="32"/>
        </w:rPr>
      </w:pPr>
      <w:r>
        <w:rPr>
          <w:rFonts w:ascii="楷体_GB2312" w:eastAsia="楷体_GB2312" w:hAnsi="楷体_GB2312" w:cs="楷体_GB2312" w:hint="eastAsia"/>
          <w:b/>
          <w:color w:val="000000" w:themeColor="text1"/>
          <w:sz w:val="32"/>
          <w:szCs w:val="32"/>
        </w:rPr>
        <w:t>（五）着眼能力建设，提升干部水平</w:t>
      </w:r>
    </w:p>
    <w:p w14:paraId="6367A9B3" w14:textId="77777777" w:rsidR="00007C75" w:rsidRDefault="00000000">
      <w:pPr>
        <w:widowControl w:val="0"/>
        <w:spacing w:after="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持续推进全面从严治党工作，始终将全面从严治党作为内心自觉和文化认同，贯彻到财政工作的全过程和各方面。</w:t>
      </w:r>
      <w:r>
        <w:rPr>
          <w:rFonts w:ascii="仿宋_GB2312" w:eastAsia="仿宋_GB2312" w:hAnsi="仿宋_GB2312" w:cs="仿宋_GB2312" w:hint="eastAsia"/>
          <w:b/>
          <w:bCs/>
          <w:color w:val="000000" w:themeColor="text1"/>
          <w:sz w:val="32"/>
          <w:szCs w:val="32"/>
        </w:rPr>
        <w:t>一是从严政治思想建设。</w:t>
      </w:r>
      <w:r>
        <w:rPr>
          <w:rFonts w:ascii="仿宋_GB2312" w:eastAsia="仿宋_GB2312" w:hAnsi="仿宋_GB2312" w:cs="仿宋_GB2312" w:hint="eastAsia"/>
          <w:color w:val="000000" w:themeColor="text1"/>
          <w:sz w:val="32"/>
          <w:szCs w:val="32"/>
        </w:rPr>
        <w:t>坚持把政治建设摆在首位，时刻绷紧政治纪律这根弦，严明政治纪律和政治规矩，不断提高党员干部政治判断力、政治领悟力、政治执行力。严格落实党风廉政建设责任制，着力强化作风建设。</w:t>
      </w:r>
      <w:r>
        <w:rPr>
          <w:rFonts w:ascii="仿宋_GB2312" w:eastAsia="仿宋_GB2312" w:hAnsi="仿宋_GB2312" w:cs="仿宋_GB2312" w:hint="eastAsia"/>
          <w:b/>
          <w:bCs/>
          <w:color w:val="000000" w:themeColor="text1"/>
          <w:sz w:val="32"/>
          <w:szCs w:val="32"/>
        </w:rPr>
        <w:t>二是加强财政干部队伍建设。</w:t>
      </w:r>
      <w:r>
        <w:rPr>
          <w:rFonts w:ascii="仿宋_GB2312" w:eastAsia="仿宋_GB2312" w:hAnsi="仿宋_GB2312" w:cs="仿宋_GB2312" w:hint="eastAsia"/>
          <w:color w:val="000000" w:themeColor="text1"/>
          <w:sz w:val="32"/>
          <w:szCs w:val="32"/>
        </w:rPr>
        <w:t>积极组织财政干部参加各层级的学习培训，开展好干部的选拔任用工作，不断激发财政干部工作热情，打造高素质专业化财政干部队伍。</w:t>
      </w:r>
    </w:p>
    <w:p w14:paraId="1AE628A6" w14:textId="77777777" w:rsidR="00007C75" w:rsidRDefault="00000000">
      <w:pPr>
        <w:widowControl w:val="0"/>
        <w:spacing w:after="0" w:line="560" w:lineRule="exact"/>
        <w:ind w:firstLineChars="200" w:firstLine="640"/>
        <w:jc w:val="both"/>
        <w:rPr>
          <w:rFonts w:ascii="仿宋_GB2312" w:eastAsia="仿宋_GB2312" w:hAnsi="仿宋_GB2312" w:cs="仿宋_GB2312"/>
        </w:rPr>
      </w:pPr>
      <w:r>
        <w:rPr>
          <w:rFonts w:ascii="仿宋_GB2312" w:eastAsia="仿宋_GB2312" w:hAnsi="仿宋_GB2312" w:cs="仿宋_GB2312" w:hint="eastAsia"/>
          <w:color w:val="000000" w:themeColor="text1"/>
          <w:sz w:val="32"/>
          <w:szCs w:val="32"/>
        </w:rPr>
        <w:t>各位代表，道阻且长、行则将至，行而不辍、未来可期。我们将坚持以习近平新时代中国特色社会主义思想为指引，坚决把思想和行动统一到县委、县政府各项决策部署上来，主动接受县人大、县政协和社会各界的监督，坚定信心，勇担重任，开拓创新，真抓实干，扎实做好各项财政工作，为全县经济社会发展作出新的、更大的贡献！</w:t>
      </w:r>
    </w:p>
    <w:sectPr w:rsidR="00007C75">
      <w:headerReference w:type="default" r:id="rId7"/>
      <w:footerReference w:type="default" r:id="rId8"/>
      <w:pgSz w:w="11906" w:h="16838"/>
      <w:pgMar w:top="1417" w:right="1417" w:bottom="1417" w:left="1757" w:header="851" w:footer="992" w:gutter="0"/>
      <w:cols w:space="0"/>
      <w:docGrid w:type="lines" w:linePitch="6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5EAE" w14:textId="77777777" w:rsidR="00611CED" w:rsidRDefault="00611CED">
      <w:pPr>
        <w:spacing w:after="0"/>
      </w:pPr>
      <w:r>
        <w:separator/>
      </w:r>
    </w:p>
  </w:endnote>
  <w:endnote w:type="continuationSeparator" w:id="0">
    <w:p w14:paraId="78EF5671" w14:textId="77777777" w:rsidR="00611CED" w:rsidRDefault="00611C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5800" w14:textId="77777777" w:rsidR="00007C75" w:rsidRDefault="00000000">
    <w:pPr>
      <w:pStyle w:val="a4"/>
    </w:pPr>
    <w:r>
      <w:rPr>
        <w:noProof/>
      </w:rPr>
      <mc:AlternateContent>
        <mc:Choice Requires="wps">
          <w:drawing>
            <wp:anchor distT="0" distB="0" distL="114300" distR="114300" simplePos="0" relativeHeight="251659264" behindDoc="0" locked="0" layoutInCell="1" allowOverlap="1" wp14:anchorId="2F29F600" wp14:editId="77CF1CB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D7397" w14:textId="77777777" w:rsidR="00007C75" w:rsidRDefault="00000000">
                          <w:pPr>
                            <w:pStyle w:val="a4"/>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29F600"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F8D7397" w14:textId="77777777" w:rsidR="00007C75" w:rsidRDefault="00000000">
                    <w:pPr>
                      <w:pStyle w:val="a4"/>
                      <w:jc w:val="center"/>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BF71" w14:textId="77777777" w:rsidR="00611CED" w:rsidRDefault="00611CED">
      <w:pPr>
        <w:spacing w:after="0"/>
      </w:pPr>
      <w:r>
        <w:separator/>
      </w:r>
    </w:p>
  </w:footnote>
  <w:footnote w:type="continuationSeparator" w:id="0">
    <w:p w14:paraId="4F6BB050" w14:textId="77777777" w:rsidR="00611CED" w:rsidRDefault="00611C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F7E0" w14:textId="77777777" w:rsidR="00007C75" w:rsidRDefault="00007C7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HorizontalSpacing w:val="109"/>
  <w:drawingGridVerticalSpacing w:val="318"/>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ExZWYwMTFhOGQxZmI5OTU3YWM1MDJjY2I4OWU2NTIifQ=="/>
  </w:docVars>
  <w:rsids>
    <w:rsidRoot w:val="000503B3"/>
    <w:rsid w:val="00007C75"/>
    <w:rsid w:val="000503B3"/>
    <w:rsid w:val="003649C3"/>
    <w:rsid w:val="00441002"/>
    <w:rsid w:val="00554D92"/>
    <w:rsid w:val="00611CED"/>
    <w:rsid w:val="008D27DE"/>
    <w:rsid w:val="00923556"/>
    <w:rsid w:val="00925D4E"/>
    <w:rsid w:val="00A463F0"/>
    <w:rsid w:val="00B26587"/>
    <w:rsid w:val="00B64CB2"/>
    <w:rsid w:val="00B817D1"/>
    <w:rsid w:val="00B87D75"/>
    <w:rsid w:val="00C73C84"/>
    <w:rsid w:val="00C850BE"/>
    <w:rsid w:val="00D87703"/>
    <w:rsid w:val="00DF14BB"/>
    <w:rsid w:val="05277368"/>
    <w:rsid w:val="09DB3DF6"/>
    <w:rsid w:val="0AB67731"/>
    <w:rsid w:val="0D0D2CEA"/>
    <w:rsid w:val="0D473393"/>
    <w:rsid w:val="0E796AAB"/>
    <w:rsid w:val="12AB2634"/>
    <w:rsid w:val="148B5B8D"/>
    <w:rsid w:val="161A4584"/>
    <w:rsid w:val="1D0C3483"/>
    <w:rsid w:val="1DE2013C"/>
    <w:rsid w:val="1FBE6A14"/>
    <w:rsid w:val="20797F64"/>
    <w:rsid w:val="23621FB8"/>
    <w:rsid w:val="238C3BBA"/>
    <w:rsid w:val="25C162B4"/>
    <w:rsid w:val="273F65EF"/>
    <w:rsid w:val="28C856A0"/>
    <w:rsid w:val="2D0D0FDB"/>
    <w:rsid w:val="2EEB2D21"/>
    <w:rsid w:val="32FC18D5"/>
    <w:rsid w:val="34B605D0"/>
    <w:rsid w:val="36873A8F"/>
    <w:rsid w:val="3808438E"/>
    <w:rsid w:val="38986473"/>
    <w:rsid w:val="40427953"/>
    <w:rsid w:val="429002CB"/>
    <w:rsid w:val="4A21078D"/>
    <w:rsid w:val="4C5B0FC3"/>
    <w:rsid w:val="4EC63ACE"/>
    <w:rsid w:val="4F2E65EF"/>
    <w:rsid w:val="50740899"/>
    <w:rsid w:val="52B2681B"/>
    <w:rsid w:val="53420DD8"/>
    <w:rsid w:val="54972441"/>
    <w:rsid w:val="55FB72A0"/>
    <w:rsid w:val="56A001D1"/>
    <w:rsid w:val="578F4701"/>
    <w:rsid w:val="57BB14B0"/>
    <w:rsid w:val="57D4535B"/>
    <w:rsid w:val="5A2248C2"/>
    <w:rsid w:val="5B6B5C3B"/>
    <w:rsid w:val="5CFA3D1B"/>
    <w:rsid w:val="5D9930BB"/>
    <w:rsid w:val="631638D3"/>
    <w:rsid w:val="631F28F3"/>
    <w:rsid w:val="649A1ADF"/>
    <w:rsid w:val="6A4864D8"/>
    <w:rsid w:val="6A4E153A"/>
    <w:rsid w:val="6B9500FE"/>
    <w:rsid w:val="6D9B34BE"/>
    <w:rsid w:val="6DA7724B"/>
    <w:rsid w:val="6F1C418A"/>
    <w:rsid w:val="70514307"/>
    <w:rsid w:val="71113D62"/>
    <w:rsid w:val="7451231F"/>
    <w:rsid w:val="752E74C3"/>
    <w:rsid w:val="76CF24E4"/>
    <w:rsid w:val="7F2437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BEEEB"/>
  <w15:docId w15:val="{7EBA7DE3-BCED-4D93-A6B6-ADBF4F2E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authorities"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adjustRightInd w:val="0"/>
      <w:snapToGrid w:val="0"/>
      <w:spacing w:after="200"/>
    </w:pPr>
    <w:rPr>
      <w:rFonts w:ascii="Tahoma" w:eastAsia="微软雅黑" w:hAnsi="Tahoma" w:cstheme="minorBid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next w:val="a"/>
    <w:qFormat/>
    <w:pPr>
      <w:widowControl w:val="0"/>
      <w:ind w:leftChars="200" w:left="420"/>
      <w:jc w:val="both"/>
    </w:pPr>
    <w:rPr>
      <w:rFonts w:ascii="Calibri" w:hAnsi="Calibri"/>
      <w:kern w:val="2"/>
      <w:sz w:val="21"/>
      <w:szCs w:val="21"/>
    </w:rPr>
  </w:style>
  <w:style w:type="paragraph" w:styleId="a4">
    <w:name w:val="footer"/>
    <w:basedOn w:val="a"/>
    <w:link w:val="a5"/>
    <w:uiPriority w:val="99"/>
    <w:qFormat/>
    <w:pPr>
      <w:tabs>
        <w:tab w:val="center" w:pos="4153"/>
        <w:tab w:val="right" w:pos="8306"/>
      </w:tabs>
    </w:pPr>
    <w:rPr>
      <w:sz w:val="18"/>
      <w:szCs w:val="18"/>
    </w:rPr>
  </w:style>
  <w:style w:type="paragraph" w:styleId="a6">
    <w:name w:val="header"/>
    <w:basedOn w:val="a"/>
    <w:link w:val="a7"/>
    <w:qFormat/>
    <w:pPr>
      <w:pBdr>
        <w:bottom w:val="single" w:sz="6" w:space="1" w:color="auto"/>
      </w:pBdr>
      <w:tabs>
        <w:tab w:val="center" w:pos="4153"/>
        <w:tab w:val="right" w:pos="8306"/>
      </w:tabs>
      <w:jc w:val="center"/>
    </w:pPr>
    <w:rPr>
      <w:sz w:val="18"/>
      <w:szCs w:val="18"/>
    </w:rPr>
  </w:style>
  <w:style w:type="character" w:styleId="a8">
    <w:name w:val="Strong"/>
    <w:basedOn w:val="a1"/>
    <w:qFormat/>
    <w:rPr>
      <w:b/>
    </w:rPr>
  </w:style>
  <w:style w:type="character" w:customStyle="1" w:styleId="a7">
    <w:name w:val="页眉 字符"/>
    <w:basedOn w:val="a1"/>
    <w:link w:val="a6"/>
    <w:qFormat/>
    <w:rPr>
      <w:rFonts w:ascii="Tahoma" w:eastAsia="微软雅黑" w:hAnsi="Tahoma" w:cstheme="minorBidi"/>
      <w:sz w:val="18"/>
      <w:szCs w:val="18"/>
    </w:rPr>
  </w:style>
  <w:style w:type="character" w:customStyle="1" w:styleId="a5">
    <w:name w:val="页脚 字符"/>
    <w:basedOn w:val="a1"/>
    <w:link w:val="a4"/>
    <w:uiPriority w:val="99"/>
    <w:qFormat/>
    <w:rPr>
      <w:rFonts w:ascii="Tahoma" w:eastAsia="微软雅黑" w:hAnsi="Tahom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1227</Words>
  <Characters>7000</Characters>
  <Application>Microsoft Office Word</Application>
  <DocSecurity>0</DocSecurity>
  <Lines>58</Lines>
  <Paragraphs>16</Paragraphs>
  <ScaleCrop>false</ScaleCrop>
  <Company>Sky123.Org</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windows</cp:lastModifiedBy>
  <cp:revision>8</cp:revision>
  <cp:lastPrinted>2022-12-27T06:31:00Z</cp:lastPrinted>
  <dcterms:created xsi:type="dcterms:W3CDTF">2022-12-06T06:21:00Z</dcterms:created>
  <dcterms:modified xsi:type="dcterms:W3CDTF">2023-05-23T08:32:00Z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ECE7AC396A354536A890BF944D5319A4</vt:lpwstr>
  </property>
</Properties>
</file>