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keepNext w:val="0"/>
        <w:keepLines w:val="0"/>
        <w:widowControl/>
        <w:suppressLineNumbers w:val="0"/>
        <w:pBdr>
          <w:top w:val="none" w:sz="0" w:space="0" w:color="auto"/>
          <w:left w:val="none" w:sz="0" w:space="0" w:color="auto"/>
          <w:bottom w:val="none" w:sz="0" w:space="0" w:color="auto"/>
          <w:right w:val="none" w:sz="0" w:space="0" w:color="auto"/>
        </w:pBdr>
        <w:spacing w:before="1020" w:beforeAutospacing="0" w:after="390" w:afterAutospacing="0"/>
        <w:ind w:left="0" w:right="0" w:firstLine="0"/>
        <w:jc w:val="center"/>
        <w:rPr>
          <w:rFonts w:ascii="微软雅黑" w:eastAsia="微软雅黑" w:cs="微软雅黑"/>
          <w:b/>
          <w:bCs/>
          <w:i w:val="0"/>
          <w:iCs w:val="0"/>
          <w:caps w:val="0"/>
          <w:smallCaps w:val="0"/>
          <w:color w:val="333333"/>
          <w:spacing w:val="0"/>
          <w:sz w:val="42"/>
          <w:szCs w:val="42"/>
        </w:rPr>
      </w:pPr>
      <w:r>
        <w:rPr>
          <w:rFonts w:ascii="微软雅黑" w:eastAsia="微软雅黑" w:cs="微软雅黑" w:hint="eastAsia"/>
          <w:b/>
          <w:bCs/>
          <w:i w:val="0"/>
          <w:iCs w:val="0"/>
          <w:caps w:val="0"/>
          <w:smallCaps w:val="0"/>
          <w:color w:val="333333"/>
          <w:spacing w:val="0"/>
          <w:sz w:val="42"/>
          <w:szCs w:val="42"/>
          <w:bdr w:val="none" w:sz="0" w:space="0" w:color="auto"/>
          <w:lang w:val="en-US" w:eastAsia="zh-CN"/>
        </w:rPr>
        <w:t>宝清</w:t>
      </w:r>
      <w:r>
        <w:rPr>
          <w:rFonts w:ascii="微软雅黑" w:eastAsia="微软雅黑" w:cs="微软雅黑" w:hint="eastAsia"/>
          <w:b/>
          <w:bCs/>
          <w:i w:val="0"/>
          <w:iCs w:val="0"/>
          <w:caps w:val="0"/>
          <w:smallCaps w:val="0"/>
          <w:color w:val="333333"/>
          <w:spacing w:val="0"/>
          <w:sz w:val="42"/>
          <w:szCs w:val="42"/>
          <w:bdr w:val="none" w:sz="0" w:space="0" w:color="auto"/>
        </w:rPr>
        <w:t>县统计领域基层政务公开标准目录</w:t>
      </w:r>
    </w:p>
    <w:tbl>
      <w:tblPr>
        <w:tblpPr w:leftFromText="180" w:rightFromText="180" w:vertAnchor="text" w:horzAnchor="page" w:tblpX="-2" w:tblpY="1373"/>
        <w:tblOverlap w:val="never"/>
        <w:tblW w:w="15598" w:type="dxa"/>
        <w:tblBorders>
          <w:top w:val="single" w:sz="6" w:space="0" w:color="CCCCCC"/>
          <w:left w:val="single" w:sz="6" w:space="0" w:color="CCCCCC"/>
          <w:bottom w:val="single" w:sz="6" w:space="0" w:color="CCCCCC"/>
          <w:right w:val="single" w:sz="6" w:space="0" w:color="CCCCCC"/>
        </w:tblBorders>
        <w:shd w:val="clear" w:color="auto" w:fill="auto"/>
        <w:tblCellMar>
          <w:top w:w="0" w:type="dxa"/>
          <w:left w:w="0" w:type="dxa"/>
          <w:bottom w:w="0" w:type="dxa"/>
          <w:right w:w="0" w:type="dxa"/>
        </w:tblCellMar>
      </w:tblPr>
      <w:tblGrid>
        <w:gridCol w:w="506"/>
        <w:gridCol w:w="841"/>
        <w:gridCol w:w="1180"/>
        <w:gridCol w:w="2246"/>
        <w:gridCol w:w="1196"/>
        <w:gridCol w:w="612"/>
        <w:gridCol w:w="1294"/>
        <w:gridCol w:w="3426"/>
        <w:gridCol w:w="790"/>
        <w:gridCol w:w="527"/>
        <w:gridCol w:w="933"/>
        <w:gridCol w:w="790"/>
        <w:gridCol w:w="588"/>
        <w:gridCol w:w="669"/>
      </w:tblGrid>
      <w:tr>
        <w:trPr>
          <w:trHeight w:val="630"/>
        </w:trPr>
        <w:tc>
          <w:tcPr>
            <w:tcW w:w="506"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序号</w:t>
            </w:r>
          </w:p>
        </w:tc>
        <w:tc>
          <w:tcPr>
            <w:tcW w:w="2021" w:type="dxa"/>
            <w:gridSpan w:val="2"/>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公开事项</w:t>
            </w:r>
          </w:p>
        </w:tc>
        <w:tc>
          <w:tcPr>
            <w:tcW w:w="2246"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公开内容（要素）</w:t>
            </w:r>
          </w:p>
        </w:tc>
        <w:tc>
          <w:tcPr>
            <w:tcW w:w="1196"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公开依据</w:t>
            </w:r>
          </w:p>
        </w:tc>
        <w:tc>
          <w:tcPr>
            <w:tcW w:w="612"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公开时限</w:t>
            </w:r>
          </w:p>
        </w:tc>
        <w:tc>
          <w:tcPr>
            <w:tcW w:w="1294"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公开主体</w:t>
            </w:r>
          </w:p>
        </w:tc>
        <w:tc>
          <w:tcPr>
            <w:tcW w:w="3426"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公开渠道和载体</w:t>
            </w:r>
          </w:p>
        </w:tc>
        <w:tc>
          <w:tcPr>
            <w:tcW w:w="1317" w:type="dxa"/>
            <w:gridSpan w:val="2"/>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公开对象</w:t>
            </w:r>
          </w:p>
        </w:tc>
        <w:tc>
          <w:tcPr>
            <w:tcW w:w="1723" w:type="dxa"/>
            <w:gridSpan w:val="2"/>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公开方式</w:t>
            </w:r>
          </w:p>
        </w:tc>
        <w:tc>
          <w:tcPr>
            <w:tcW w:w="1257" w:type="dxa"/>
            <w:gridSpan w:val="2"/>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公开层级</w:t>
            </w:r>
          </w:p>
        </w:tc>
      </w:tr>
      <w:tr>
        <w:trPr>
          <w:trHeight w:val="705"/>
        </w:trPr>
        <w:tc>
          <w:tcPr>
            <w:tcW w:w="506"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841"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rPr>
                <w:rFonts w:ascii="宋体" w:hint="eastAsia"/>
                <w:sz w:val="24"/>
                <w:szCs w:val="24"/>
              </w:rPr>
            </w:pPr>
            <w:r>
              <w:rPr>
                <w:rStyle w:val="15"/>
                <w:rFonts w:ascii="宋体" w:eastAsia="宋体" w:cs="宋体"/>
                <w:b/>
                <w:bCs/>
                <w:kern w:val="0"/>
                <w:sz w:val="24"/>
                <w:szCs w:val="24"/>
                <w:bdr w:val="none" w:sz="0" w:space="0" w:color="auto"/>
                <w:lang w:val="en-US" w:eastAsia="zh-CN"/>
              </w:rPr>
              <w:t>一级事项</w:t>
            </w: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二级事项</w:t>
            </w:r>
          </w:p>
        </w:tc>
        <w:tc>
          <w:tcPr>
            <w:tcW w:w="2246"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1196"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612"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1294"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3426"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rPr>
                <w:rFonts w:ascii="宋体" w:hint="eastAsia"/>
                <w:sz w:val="24"/>
                <w:szCs w:val="24"/>
              </w:rPr>
            </w:pPr>
            <w:r>
              <w:rPr>
                <w:rStyle w:val="15"/>
                <w:rFonts w:ascii="宋体" w:eastAsia="宋体" w:cs="宋体"/>
                <w:b/>
                <w:bCs/>
                <w:kern w:val="0"/>
                <w:sz w:val="24"/>
                <w:szCs w:val="24"/>
                <w:bdr w:val="none" w:sz="0" w:space="0" w:color="auto"/>
                <w:lang w:val="en-US" w:eastAsia="zh-CN"/>
              </w:rPr>
              <w:t>全社会</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特定群体</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主动</w:t>
            </w:r>
            <w:r>
              <w:rPr>
                <w:rFonts w:ascii="宋体" w:eastAsia="宋体" w:cs="宋体"/>
                <w:kern w:val="0"/>
                <w:sz w:val="24"/>
                <w:szCs w:val="24"/>
                <w:bdr w:val="none" w:sz="0" w:space="0" w:color="auto"/>
                <w:lang w:val="en-US" w:eastAsia="zh-CN"/>
              </w:rPr>
              <w:br/>
            </w:r>
            <w:r>
              <w:rPr>
                <w:rStyle w:val="15"/>
                <w:rFonts w:ascii="宋体" w:eastAsia="宋体" w:cs="宋体"/>
                <w:b/>
                <w:bCs/>
                <w:kern w:val="0"/>
                <w:sz w:val="24"/>
                <w:szCs w:val="24"/>
                <w:bdr w:val="none" w:sz="0" w:space="0" w:color="auto"/>
                <w:lang w:val="en-US" w:eastAsia="zh-CN"/>
              </w:rPr>
              <w:t>公开</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依申请</w:t>
            </w:r>
            <w:r>
              <w:rPr>
                <w:rFonts w:ascii="宋体" w:eastAsia="宋体" w:cs="宋体"/>
                <w:kern w:val="0"/>
                <w:sz w:val="24"/>
                <w:szCs w:val="24"/>
                <w:bdr w:val="none" w:sz="0" w:space="0" w:color="auto"/>
                <w:lang w:val="en-US" w:eastAsia="zh-CN"/>
              </w:rPr>
              <w:br/>
            </w:r>
            <w:r>
              <w:rPr>
                <w:rStyle w:val="15"/>
                <w:rFonts w:ascii="宋体" w:eastAsia="宋体" w:cs="宋体"/>
                <w:b/>
                <w:bCs/>
                <w:kern w:val="0"/>
                <w:sz w:val="24"/>
                <w:szCs w:val="24"/>
                <w:bdr w:val="none" w:sz="0" w:space="0" w:color="auto"/>
                <w:lang w:val="en-US" w:eastAsia="zh-CN"/>
              </w:rPr>
              <w:t>公开</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县级</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center"/>
            </w:pPr>
            <w:r>
              <w:rPr>
                <w:rStyle w:val="15"/>
                <w:rFonts w:ascii="宋体" w:eastAsia="宋体" w:cs="宋体"/>
                <w:b/>
                <w:bCs/>
                <w:kern w:val="0"/>
                <w:sz w:val="24"/>
                <w:szCs w:val="24"/>
                <w:bdr w:val="none" w:sz="0" w:space="0" w:color="auto"/>
                <w:lang w:val="en-US" w:eastAsia="zh-CN"/>
              </w:rPr>
              <w:t>乡级</w:t>
            </w:r>
          </w:p>
        </w:tc>
      </w:tr>
      <w:tr>
        <w:trPr>
          <w:trHeight w:val="1681"/>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1</w:t>
            </w:r>
          </w:p>
        </w:tc>
        <w:tc>
          <w:tcPr>
            <w:tcW w:w="841"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统计法律</w:t>
              <w:br/>
              <w:t>规范</w:t>
            </w: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统计法律</w:t>
              <w:br/>
              <w:t>法规规章</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统计领域相关法律、法规、规章</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《中华人民共和国统计法》《中华人民共和国政府信息公开条例》《中华人民共和国统计法实施条例》</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信息形成或者变更之日起20个工作日内</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□精准推送  □其他    </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r>
        <w:trPr>
          <w:trHeight w:val="1696"/>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2</w:t>
            </w:r>
          </w:p>
        </w:tc>
        <w:tc>
          <w:tcPr>
            <w:tcW w:w="841"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rPr>
                <w:rFonts w:ascii="宋体" w:hint="eastAsia"/>
                <w:sz w:val="24"/>
                <w:szCs w:val="24"/>
              </w:rPr>
            </w:pPr>
            <w:r>
              <w:rPr>
                <w:rFonts w:ascii="宋体" w:eastAsia="宋体" w:cs="宋体"/>
                <w:kern w:val="0"/>
                <w:sz w:val="24"/>
                <w:szCs w:val="24"/>
                <w:bdr w:val="none" w:sz="0" w:space="0" w:color="auto"/>
                <w:lang w:val="en-US" w:eastAsia="zh-CN"/>
              </w:rPr>
              <w:t>规范性文件</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统计领域相关规范性文件</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《中华人民共和国统计法》《中华人民共和国政府信息公开条例》《中华人民共和国统计法实施条例》</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信息形成或者变更之日起20个工作日内</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□精准推送  □其他    </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r>
        <w:trPr>
          <w:trHeight w:val="1711"/>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3</w:t>
            </w:r>
          </w:p>
        </w:tc>
        <w:tc>
          <w:tcPr>
            <w:tcW w:w="841" w:type="dxa"/>
            <w:vMerge w:val="restart"/>
            <w:tcBorders>
              <w:top w:val="single" w:sz="6" w:space="0" w:color="CCCCCC"/>
              <w:left w:val="single" w:sz="6" w:space="0" w:color="CCCCCC"/>
              <w:bottom w:val="single" w:sz="4" w:space="0" w:color="000000"/>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统计调查</w:t>
              <w:br/>
              <w:t>制度</w:t>
            </w: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国家统计</w:t>
              <w:br/>
              <w:t>调查制度</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开展统计调查工作中执行的国家统计调查制度的主要内容</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《中华人民共和国统计法》《中华人民共和国政府信息公开条例》《中华人民共和国统计法实施条例》</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实时更新</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□精准推送  □其他    </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r>
        <w:trPr>
          <w:trHeight w:val="1681"/>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4</w:t>
            </w:r>
          </w:p>
        </w:tc>
        <w:tc>
          <w:tcPr>
            <w:tcW w:w="841" w:type="dxa"/>
            <w:vMerge/>
            <w:tcBorders>
              <w:top w:val="single" w:sz="6" w:space="0" w:color="CCCCCC"/>
              <w:left w:val="single" w:sz="6" w:space="0" w:color="CCCCCC"/>
              <w:bottom w:val="single" w:sz="4" w:space="0" w:color="000000"/>
              <w:right w:val="single" w:sz="6" w:space="0" w:color="CCCCCC"/>
            </w:tcBorders>
            <w:shd w:val="clear" w:color="auto" w:fill="auto"/>
            <w:noWrap/>
            <w:vAlign w:val="center"/>
          </w:tcP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rPr>
                <w:rFonts w:ascii="宋体" w:hint="eastAsia"/>
                <w:sz w:val="24"/>
                <w:szCs w:val="24"/>
              </w:rPr>
            </w:pPr>
            <w:r>
              <w:rPr>
                <w:rFonts w:ascii="宋体" w:eastAsia="宋体" w:cs="宋体"/>
                <w:kern w:val="0"/>
                <w:sz w:val="24"/>
                <w:szCs w:val="24"/>
                <w:bdr w:val="none" w:sz="0" w:space="0" w:color="auto"/>
                <w:lang w:val="en-US" w:eastAsia="zh-CN"/>
              </w:rPr>
              <w:t>地方统计</w:t>
              <w:br/>
              <w:t>调查制度</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开展统计调查工作中执行的地方统计调查制度的主要内容</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《中华人民共和国统计法》《中华人民共和国政府信息公开条例》《中华人民共和国统计法实施条例》</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实时更新</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□精准推送  □其他    </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r>
        <w:trPr>
          <w:trHeight w:val="2251"/>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5</w:t>
            </w:r>
          </w:p>
        </w:tc>
        <w:tc>
          <w:tcPr>
            <w:tcW w:w="841"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统计数据</w:t>
            </w: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数据发布</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统计公报，年度、季度、月度主要统计数据，按国家规定对外发布的重大国情国力普查数据和重要统计调查相关数据</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《中华人民共和国统计法》《中华人民共和国政府信息公开条例》《中华人民共和国统计法实施条例》</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适时发布</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□精准推送  □其他    </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r>
        <w:trPr>
          <w:trHeight w:val="2251"/>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6</w:t>
            </w:r>
          </w:p>
        </w:tc>
        <w:tc>
          <w:tcPr>
            <w:tcW w:w="841"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rPr>
                <w:rFonts w:ascii="宋体" w:hint="eastAsia"/>
                <w:sz w:val="24"/>
                <w:szCs w:val="24"/>
              </w:rPr>
            </w:pPr>
            <w:r>
              <w:rPr>
                <w:rFonts w:ascii="宋体" w:eastAsia="宋体" w:cs="宋体"/>
                <w:kern w:val="0"/>
                <w:sz w:val="24"/>
                <w:szCs w:val="24"/>
                <w:bdr w:val="none" w:sz="0" w:space="0" w:color="auto"/>
                <w:lang w:val="en-US" w:eastAsia="zh-CN"/>
              </w:rPr>
              <w:t>数据解读</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统计数据发布后的配套解读</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《中华人民共和国统计法》《中华人民共和国政府信息公开条例》《中华人民共和国统计法实施条例》</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适时发布</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□精准推送  □其他    </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r>
        <w:trPr>
          <w:trHeight w:val="2746"/>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7</w:t>
            </w:r>
          </w:p>
        </w:tc>
        <w:tc>
          <w:tcPr>
            <w:tcW w:w="841" w:type="dxa"/>
            <w:vMerge w:val="restart"/>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统计执法</w:t>
              <w:br/>
              <w:t>监督</w:t>
            </w: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行政处罚</w:t>
              <w:br/>
              <w:t>信息公示</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作出的行政处罚决定信息（法律、行政法规另有规定的除外）</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中华人民共和国行政处罚法》《中华人民共和国统计法》《中华人民共和国政府信息公开条例》《中华人民共和国统计法实施条例》《统计执法监督检查办法》《国家发展改革委办公厅关于进一步完善行政许可和行政处罚等信用信息公示工作的指导意见》</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适时公开</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□精准推送  ■其他（地方信用门户网站或信用中国网站）    </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r>
        <w:trPr>
          <w:trHeight w:val="2101"/>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8</w:t>
            </w:r>
          </w:p>
        </w:tc>
        <w:tc>
          <w:tcPr>
            <w:tcW w:w="841"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rPr>
                <w:rFonts w:ascii="宋体" w:hint="eastAsia"/>
                <w:sz w:val="24"/>
                <w:szCs w:val="24"/>
              </w:rPr>
            </w:pPr>
            <w:r>
              <w:rPr>
                <w:rFonts w:ascii="宋体" w:eastAsia="宋体" w:cs="宋体"/>
                <w:kern w:val="0"/>
                <w:sz w:val="24"/>
                <w:szCs w:val="24"/>
                <w:bdr w:val="none" w:sz="0" w:space="0" w:color="auto"/>
                <w:lang w:val="en-US" w:eastAsia="zh-CN"/>
              </w:rPr>
              <w:t>“双随机”抽查</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统计“双随机”抽查名单和结果</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《中华人民共和国政府信息公开条例》《国务院办公厅关于推广随机抽查规范事中事后监管的通知》《国家统计局统计执法“双随机”抽查办法（试行）》</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适时公开</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□精准推送  □其他    </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r>
        <w:trPr>
          <w:trHeight w:val="2101"/>
        </w:trPr>
        <w:tc>
          <w:tcPr>
            <w:tcW w:w="50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9</w:t>
            </w:r>
          </w:p>
        </w:tc>
        <w:tc>
          <w:tcPr>
            <w:tcW w:w="841" w:type="dxa"/>
            <w:vMerge/>
            <w:tcBorders>
              <w:top w:val="single" w:sz="6" w:space="0" w:color="CCCCCC"/>
              <w:left w:val="single" w:sz="6" w:space="0" w:color="CCCCCC"/>
              <w:bottom w:val="single" w:sz="6" w:space="0" w:color="CCCCCC"/>
              <w:right w:val="single" w:sz="6" w:space="0" w:color="CCCCCC"/>
            </w:tcBorders>
            <w:shd w:val="clear" w:color="auto" w:fill="auto"/>
            <w:noWrap/>
            <w:vAlign w:val="center"/>
          </w:tcPr>
          <w:p/>
        </w:tc>
        <w:tc>
          <w:tcPr>
            <w:tcW w:w="118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rPr>
                <w:rFonts w:ascii="宋体" w:hint="eastAsia"/>
                <w:sz w:val="24"/>
                <w:szCs w:val="24"/>
              </w:rPr>
            </w:pPr>
            <w:r>
              <w:rPr>
                <w:rFonts w:ascii="宋体" w:eastAsia="宋体" w:cs="宋体"/>
                <w:kern w:val="0"/>
                <w:sz w:val="24"/>
                <w:szCs w:val="24"/>
                <w:bdr w:val="none" w:sz="0" w:space="0" w:color="auto"/>
                <w:lang w:val="en-US" w:eastAsia="zh-CN"/>
              </w:rPr>
              <w:t>统计严重失信</w:t>
              <w:br/>
              <w:t>企业公示</w:t>
            </w:r>
          </w:p>
        </w:tc>
        <w:tc>
          <w:tcPr>
            <w:tcW w:w="224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统计严重失信企业失信信息</w:t>
            </w:r>
          </w:p>
        </w:tc>
        <w:tc>
          <w:tcPr>
            <w:tcW w:w="119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《国务院办公厅关于进一步完善失信约束制度构建诚信建设长效机制的指导意见》</w:t>
            </w:r>
          </w:p>
        </w:tc>
        <w:tc>
          <w:tcPr>
            <w:tcW w:w="612"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适时公开</w:t>
            </w:r>
          </w:p>
        </w:tc>
        <w:tc>
          <w:tcPr>
            <w:tcW w:w="1294"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县统计局</w:t>
            </w:r>
          </w:p>
        </w:tc>
        <w:tc>
          <w:tcPr>
            <w:tcW w:w="3426"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■政府网站  □政府公报</w:t>
              <w:br/>
              <w:t>□两微一端  □发布会/听证会   □广播电视  □纸质媒体           □公开查阅点□政务服务中心</w:t>
              <w:br/>
              <w:t>□便民服务站□入户/现场</w:t>
              <w:br/>
              <w:t>□社区/企事业单位/村公示栏（电子屏）</w:t>
              <w:br/>
              <w:t xml:space="preserve">□精准推送  </w:t>
            </w:r>
            <w:r>
              <w:rPr>
                <w:rFonts w:ascii="宋体" w:eastAsia="宋体" w:cs="宋体"/>
                <w:kern w:val="0"/>
                <w:sz w:val="24"/>
                <w:szCs w:val="24"/>
                <w:bdr w:val="none" w:sz="0" w:space="0" w:color="auto"/>
                <w:lang w:val="en-US" w:eastAsia="zh-CN"/>
              </w:rPr>
              <w:t>□</w:t>
            </w:r>
            <w:r>
              <w:rPr>
                <w:rFonts w:ascii="宋体" w:eastAsia="宋体" w:cs="宋体"/>
                <w:kern w:val="0"/>
                <w:sz w:val="24"/>
                <w:szCs w:val="24"/>
                <w:bdr w:val="none" w:sz="0" w:space="0" w:color="auto"/>
                <w:lang w:val="en-US" w:eastAsia="zh-CN"/>
              </w:rPr>
              <w:t>其他（地方信用门户网站或信用中国网站）    </w:t>
            </w:r>
            <w:bookmarkStart w:id="0" w:name="_GoBack"/>
            <w:bookmarkEnd w:id="0"/>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527"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933"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790"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c>
          <w:tcPr>
            <w:tcW w:w="588"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w:t>
            </w:r>
          </w:p>
        </w:tc>
        <w:tc>
          <w:tcPr>
            <w:tcW w:w="669" w:type="dxa"/>
            <w:tcBorders>
              <w:top w:val="single" w:sz="6" w:space="0" w:color="CCCCCC"/>
              <w:left w:val="single" w:sz="6" w:space="0" w:color="CCCCCC"/>
              <w:bottom w:val="single" w:sz="6" w:space="0" w:color="CCCCCC"/>
              <w:right w:val="single" w:sz="6" w:space="0" w:color="CCCCCC"/>
            </w:tcBorders>
            <w:shd w:val="clear" w:color="auto" w:fill="auto"/>
            <w:noWrap/>
            <w:vAlign w:val="center"/>
          </w:tcPr>
          <w:p>
            <w:pPr>
              <w:keepNext w:val="0"/>
              <w:keepLines w:val="0"/>
              <w:widowControl/>
              <w:suppressLineNumbers w:val="0"/>
              <w:spacing w:before="0" w:beforeAutospacing="0" w:after="0" w:afterAutospacing="0"/>
              <w:ind w:left="0" w:right="0"/>
              <w:jc w:val="left"/>
            </w:pPr>
            <w:r>
              <w:rPr>
                <w:rFonts w:ascii="宋体" w:eastAsia="宋体" w:cs="宋体"/>
                <w:kern w:val="0"/>
                <w:sz w:val="24"/>
                <w:szCs w:val="24"/>
                <w:bdr w:val="none" w:sz="0" w:space="0" w:color="auto"/>
                <w:lang w:val="en-US" w:eastAsia="zh-CN"/>
              </w:rPr>
              <w:t> </w:t>
            </w:r>
          </w:p>
        </w:tc>
      </w:tr>
    </w:tbl>
    <w:p/>
    <w:sectPr>
      <w:pgSz w:w="16838" w:h="11906"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altName w:val="方正兰亭黑_GBK"/>
    <w:panose1 w:val="020B0503020204020204"/>
    <w:charset w:val="86"/>
    <w:family w:val="auto"/>
    <w:pitch w:val="variable"/>
    <w:sig w:usb0="80000287" w:usb1="2ACF3C50" w:usb2="00000016" w:usb3="00000000" w:csb0="0004001F" w:csb1="00000000"/>
  </w:font>
  <w:font w:name="宋体">
    <w:altName w:val="方正书宋_GBK"/>
    <w:panose1 w:val="02010600030101010101"/>
    <w:charset w:val="86"/>
    <w:family w:val="auto"/>
    <w:pitch w:val="variable"/>
    <w:sig w:usb0="00000003" w:usb1="288F0000" w:usb2="0000000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Calibri">
    <w:altName w:val="DejaVu Sans"/>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4"/>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jkxYzIwMTk2M2UzOWQ3MDM1ZDZlMThlMjM3OGU5NTk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styleId="15">
    <w:name w:val="Strong"/>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Yozo_Office27021597764231179</Application>
  <Pages>11</Pages>
  <Words>1785</Words>
  <Characters>1787</Characters>
  <Lines>375</Lines>
  <Paragraphs>113</Paragraphs>
  <CharactersWithSpaces>2094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greatwall</cp:lastModifiedBy>
  <cp:revision>0</cp:revision>
  <dcterms:created xsi:type="dcterms:W3CDTF">2014-10-29T12:08:00Z</dcterms:created>
  <dcterms:modified xsi:type="dcterms:W3CDTF">2022-11-09T06:44:33Z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2052-11.1.0.12019</vt:lpwstr>
  </property>
  <property fmtid="{D5CDD505-2E9C-101B-9397-08002B2CF9AE}" pid="3" name="ICV">
    <vt:lpwstr>A4F89299BF54428596440F059E4A5BE6</vt:lpwstr>
  </property>
</Properties>
</file>